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13E1" w:rsidR="00E45401" w:rsidP="00EF13E1" w:rsidRDefault="00E45401" w14:paraId="0497DF54" w14:textId="77777777">
      <w:pPr>
        <w:spacing w:line="240" w:lineRule="auto"/>
        <w:jc w:val="center"/>
        <w:rPr>
          <w:rStyle w:val="Hyperlink"/>
          <w:b/>
          <w:bCs/>
          <w:color w:val="C00000"/>
          <w:sz w:val="28"/>
          <w:u w:val="none"/>
          <w:lang w:val="en-IE"/>
        </w:rPr>
      </w:pPr>
      <w:r w:rsidRPr="00014A49">
        <w:rPr>
          <w:b/>
          <w:bCs/>
          <w:color w:val="C00000"/>
          <w:sz w:val="28"/>
          <w:lang w:val="en-IE"/>
        </w:rPr>
        <w:t>Guidance Document for</w:t>
      </w:r>
      <w:r w:rsidR="00014A49">
        <w:rPr>
          <w:b/>
          <w:bCs/>
          <w:color w:val="C00000"/>
          <w:sz w:val="28"/>
          <w:lang w:val="en-IE"/>
        </w:rPr>
        <w:t xml:space="preserve"> SREC</w:t>
      </w:r>
      <w:r w:rsidRPr="00014A49">
        <w:rPr>
          <w:b/>
          <w:bCs/>
          <w:color w:val="C00000"/>
          <w:sz w:val="28"/>
          <w:lang w:val="en-IE"/>
        </w:rPr>
        <w:t xml:space="preserve"> </w:t>
      </w:r>
      <w:r w:rsidR="00014A49">
        <w:rPr>
          <w:b/>
          <w:bCs/>
          <w:color w:val="C00000"/>
          <w:sz w:val="28"/>
          <w:lang w:val="en-IE"/>
        </w:rPr>
        <w:t>a</w:t>
      </w:r>
      <w:r w:rsidRPr="00014A49">
        <w:rPr>
          <w:b/>
          <w:bCs/>
          <w:color w:val="C00000"/>
          <w:sz w:val="28"/>
          <w:lang w:val="en-IE"/>
        </w:rPr>
        <w:t>pplicants</w:t>
      </w:r>
    </w:p>
    <w:tbl>
      <w:tblPr>
        <w:tblStyle w:val="TableGrid"/>
        <w:tblW w:w="0" w:type="auto"/>
        <w:shd w:val="clear" w:color="auto" w:fill="B6DDE8" w:themeFill="accent5" w:themeFillTint="66"/>
        <w:tblLook w:val="04A0" w:firstRow="1" w:lastRow="0" w:firstColumn="1" w:lastColumn="0" w:noHBand="0" w:noVBand="1"/>
      </w:tblPr>
      <w:tblGrid>
        <w:gridCol w:w="2162"/>
        <w:gridCol w:w="6854"/>
      </w:tblGrid>
      <w:tr w:rsidR="009F40DD" w:rsidTr="00191DCB" w14:paraId="2C1C451F" w14:textId="77777777">
        <w:trPr>
          <w:trHeight w:val="384"/>
        </w:trPr>
        <w:tc>
          <w:tcPr>
            <w:tcW w:w="9016" w:type="dxa"/>
            <w:gridSpan w:val="2"/>
            <w:shd w:val="clear" w:color="auto" w:fill="FFFFCC"/>
          </w:tcPr>
          <w:p w:rsidRPr="00EF13E1" w:rsidR="009F40DD" w:rsidP="00BA7BC2" w:rsidRDefault="009F40DD" w14:paraId="515F5349" w14:textId="77777777">
            <w:pPr>
              <w:jc w:val="both"/>
              <w:rPr>
                <w:rStyle w:val="Hyperlink"/>
                <w:i/>
                <w:color w:val="auto"/>
                <w:u w:val="none"/>
              </w:rPr>
            </w:pPr>
            <w:r w:rsidRPr="00EF13E1">
              <w:rPr>
                <w:rStyle w:val="Hyperlink"/>
                <w:i/>
                <w:color w:val="auto"/>
                <w:u w:val="none"/>
              </w:rPr>
              <w:t>There are three sub-committees of the University Ethics Committee; Clinical, Animal</w:t>
            </w:r>
            <w:r w:rsidR="00817FF6">
              <w:rPr>
                <w:rStyle w:val="Hyperlink"/>
                <w:i/>
                <w:color w:val="auto"/>
                <w:u w:val="none"/>
              </w:rPr>
              <w:t>,</w:t>
            </w:r>
            <w:r w:rsidRPr="00EF13E1">
              <w:rPr>
                <w:rStyle w:val="Hyperlink"/>
                <w:i/>
                <w:color w:val="auto"/>
                <w:u w:val="none"/>
              </w:rPr>
              <w:t xml:space="preserve"> and Social.</w:t>
            </w:r>
          </w:p>
          <w:p w:rsidRPr="00E45401" w:rsidR="009F40DD" w:rsidP="00EF13E1" w:rsidRDefault="009F40DD" w14:paraId="510AF315" w14:textId="77777777">
            <w:pPr>
              <w:rPr>
                <w:lang w:val="en-IE"/>
              </w:rPr>
            </w:pPr>
          </w:p>
        </w:tc>
      </w:tr>
      <w:tr w:rsidR="00EF13E1" w:rsidTr="00191DCB" w14:paraId="0C2C5F7C" w14:textId="77777777">
        <w:trPr>
          <w:trHeight w:val="1114"/>
        </w:trPr>
        <w:tc>
          <w:tcPr>
            <w:tcW w:w="1838" w:type="dxa"/>
            <w:shd w:val="clear" w:color="auto" w:fill="DAEEF3" w:themeFill="accent5" w:themeFillTint="33"/>
          </w:tcPr>
          <w:p w:rsidRPr="002F3195" w:rsidR="0072422F" w:rsidP="00FD5EB6" w:rsidRDefault="0072422F" w14:paraId="53947D98" w14:textId="77777777">
            <w:pPr>
              <w:rPr>
                <w:b/>
                <w:sz w:val="28"/>
              </w:rPr>
            </w:pPr>
            <w:r w:rsidRPr="002F3195">
              <w:rPr>
                <w:b/>
                <w:sz w:val="28"/>
                <w:lang w:val="en-IE"/>
              </w:rPr>
              <w:t>Clinical or Animal Experimentation</w:t>
            </w:r>
          </w:p>
          <w:p w:rsidR="0072422F" w:rsidP="00FD5EB6" w:rsidRDefault="0072422F" w14:paraId="02A30711" w14:textId="77777777">
            <w:pPr>
              <w:contextualSpacing/>
            </w:pPr>
          </w:p>
        </w:tc>
        <w:tc>
          <w:tcPr>
            <w:tcW w:w="7178" w:type="dxa"/>
            <w:shd w:val="clear" w:color="auto" w:fill="DAEEF3" w:themeFill="accent5" w:themeFillTint="33"/>
          </w:tcPr>
          <w:p w:rsidR="00EF13E1" w:rsidP="00FD5EB6" w:rsidRDefault="0072422F" w14:paraId="4352B84B" w14:textId="77777777">
            <w:pPr>
              <w:jc w:val="both"/>
              <w:rPr>
                <w:lang w:val="en-IE"/>
              </w:rPr>
            </w:pPr>
            <w:r w:rsidRPr="00E45401">
              <w:rPr>
                <w:lang w:val="en-IE"/>
              </w:rPr>
              <w:t xml:space="preserve">If you wish to apply to CREC (Clinical Research Ethics Committee) or AEEC (Animal Ethics Experimentation </w:t>
            </w:r>
            <w:r w:rsidRPr="00E45401" w:rsidR="009062E8">
              <w:rPr>
                <w:lang w:val="en-IE"/>
              </w:rPr>
              <w:t>Committee),</w:t>
            </w:r>
            <w:r w:rsidRPr="00E45401">
              <w:rPr>
                <w:lang w:val="en-IE"/>
              </w:rPr>
              <w:t xml:space="preserve"> you will need to contact these commit</w:t>
            </w:r>
            <w:r w:rsidR="00EF13E1">
              <w:rPr>
                <w:lang w:val="en-IE"/>
              </w:rPr>
              <w:t xml:space="preserve">tees directly for their manuals. </w:t>
            </w:r>
          </w:p>
          <w:p w:rsidRPr="00E45401" w:rsidR="0072422F" w:rsidP="00FD5EB6" w:rsidRDefault="00EF13E1" w14:paraId="5774FA07" w14:textId="77777777">
            <w:pPr>
              <w:jc w:val="both"/>
            </w:pPr>
            <w:r>
              <w:rPr>
                <w:lang w:val="en-IE"/>
              </w:rPr>
              <w:t>They can be reached via email at</w:t>
            </w:r>
            <w:r w:rsidRPr="00E45401" w:rsidR="0072422F">
              <w:rPr>
                <w:lang w:val="en-IE"/>
              </w:rPr>
              <w:t> </w:t>
            </w:r>
            <w:hyperlink w:tgtFrame="_blank" w:history="1" r:id="rId11">
              <w:r w:rsidRPr="00E45401" w:rsidR="0072422F">
                <w:rPr>
                  <w:rStyle w:val="Hyperlink"/>
                  <w:lang w:val="en-IE"/>
                </w:rPr>
                <w:t>crec@ucc.ie</w:t>
              </w:r>
            </w:hyperlink>
            <w:r w:rsidRPr="00E45401" w:rsidR="0072422F">
              <w:rPr>
                <w:lang w:val="en-IE"/>
              </w:rPr>
              <w:t> or </w:t>
            </w:r>
            <w:hyperlink w:tgtFrame="_blank" w:history="1" r:id="rId12">
              <w:r w:rsidRPr="00E45401" w:rsidR="0072422F">
                <w:rPr>
                  <w:rStyle w:val="Hyperlink"/>
                  <w:lang w:val="en-IE"/>
                </w:rPr>
                <w:t>aeec@ucc.ie</w:t>
              </w:r>
            </w:hyperlink>
          </w:p>
          <w:p w:rsidR="0072422F" w:rsidP="00FD5EB6" w:rsidRDefault="0072422F" w14:paraId="3DA8B4C9" w14:textId="77777777">
            <w:pPr>
              <w:contextualSpacing/>
              <w:jc w:val="both"/>
            </w:pPr>
          </w:p>
        </w:tc>
      </w:tr>
      <w:tr w:rsidR="00EF13E1" w:rsidTr="00EF13E1" w14:paraId="776333A1" w14:textId="77777777">
        <w:tc>
          <w:tcPr>
            <w:tcW w:w="1838" w:type="dxa"/>
            <w:shd w:val="clear" w:color="auto" w:fill="DAEEF3" w:themeFill="accent5" w:themeFillTint="33"/>
          </w:tcPr>
          <w:p w:rsidRPr="002F3195" w:rsidR="0072422F" w:rsidP="00FD5EB6" w:rsidRDefault="0072422F" w14:paraId="1D57D112" w14:textId="77777777">
            <w:pPr>
              <w:rPr>
                <w:b/>
                <w:sz w:val="28"/>
                <w:lang w:val="en-IE"/>
              </w:rPr>
            </w:pPr>
            <w:r w:rsidRPr="002F3195">
              <w:rPr>
                <w:b/>
                <w:sz w:val="28"/>
                <w:lang w:val="en-IE"/>
              </w:rPr>
              <w:t>Social Research</w:t>
            </w:r>
          </w:p>
          <w:p w:rsidR="0072422F" w:rsidP="00FD5EB6" w:rsidRDefault="0072422F" w14:paraId="4CFC5BC8" w14:textId="77777777">
            <w:pPr>
              <w:contextualSpacing/>
            </w:pPr>
          </w:p>
        </w:tc>
        <w:tc>
          <w:tcPr>
            <w:tcW w:w="7178" w:type="dxa"/>
            <w:shd w:val="clear" w:color="auto" w:fill="DAEEF3" w:themeFill="accent5" w:themeFillTint="33"/>
          </w:tcPr>
          <w:p w:rsidRPr="001D787C" w:rsidR="001D787C" w:rsidP="00FD5EB6" w:rsidRDefault="001D787C" w14:paraId="0859E2FF" w14:textId="77777777">
            <w:pPr>
              <w:jc w:val="both"/>
              <w:rPr>
                <w:lang w:val="en-IE"/>
              </w:rPr>
            </w:pPr>
            <w:r w:rsidRPr="001D787C">
              <w:rPr>
                <w:u w:val="single"/>
                <w:lang w:val="en-IE"/>
              </w:rPr>
              <w:t>Please Note:</w:t>
            </w:r>
            <w:r w:rsidRPr="001D787C">
              <w:rPr>
                <w:lang w:val="en-IE"/>
              </w:rPr>
              <w:t xml:space="preserve">  The Social Research Ethics Committee reviews ethical applications from UCC Research Post Graduate students (e.g. PhD and Masters by Research students), and employees. We do not accept applications from </w:t>
            </w:r>
            <w:r w:rsidRPr="001D787C" w:rsidR="009062E8">
              <w:rPr>
                <w:lang w:val="en-IE"/>
              </w:rPr>
              <w:t>non-UCC</w:t>
            </w:r>
            <w:r w:rsidRPr="001D787C">
              <w:rPr>
                <w:lang w:val="en-IE"/>
              </w:rPr>
              <w:t xml:space="preserve"> applicants or from undergraduate students. In general, applications from taught postgraduate students are dealt with at School/Department level.</w:t>
            </w:r>
          </w:p>
          <w:p w:rsidRPr="001D787C" w:rsidR="001D787C" w:rsidP="00FD5EB6" w:rsidRDefault="001D787C" w14:paraId="7B661438" w14:textId="77777777">
            <w:pPr>
              <w:jc w:val="both"/>
              <w:rPr>
                <w:lang w:val="en-IE"/>
              </w:rPr>
            </w:pPr>
          </w:p>
          <w:p w:rsidRPr="001D787C" w:rsidR="0072422F" w:rsidP="00FD5EB6" w:rsidRDefault="0072422F" w14:paraId="1622A268" w14:textId="77777777">
            <w:pPr>
              <w:jc w:val="both"/>
            </w:pPr>
            <w:r w:rsidRPr="001D787C">
              <w:rPr>
                <w:lang w:val="en-IE"/>
              </w:rPr>
              <w:t>If you are applying to SREC there is no deadline for ethics applications but rather you can submit at whatever time suits you to </w:t>
            </w:r>
            <w:hyperlink w:tgtFrame="_blank" w:history="1" r:id="rId13">
              <w:r w:rsidRPr="001D787C">
                <w:rPr>
                  <w:rStyle w:val="Hyperlink"/>
                  <w:u w:val="none"/>
                  <w:lang w:val="en-IE"/>
                </w:rPr>
                <w:t>srec@ucc.ie</w:t>
              </w:r>
            </w:hyperlink>
            <w:r w:rsidRPr="001D787C">
              <w:rPr>
                <w:lang w:val="en-IE"/>
              </w:rPr>
              <w:t> </w:t>
            </w:r>
          </w:p>
          <w:p w:rsidRPr="001D787C" w:rsidR="0072422F" w:rsidP="00FD5EB6" w:rsidRDefault="0072422F" w14:paraId="49BD1F36" w14:textId="77777777">
            <w:pPr>
              <w:contextualSpacing/>
              <w:jc w:val="both"/>
            </w:pPr>
          </w:p>
        </w:tc>
      </w:tr>
      <w:tr w:rsidR="009F40DD" w:rsidTr="00EF13E1" w14:paraId="68EA5E32" w14:textId="77777777">
        <w:tc>
          <w:tcPr>
            <w:tcW w:w="9016" w:type="dxa"/>
            <w:gridSpan w:val="2"/>
            <w:shd w:val="clear" w:color="auto" w:fill="DAEEF3" w:themeFill="accent5" w:themeFillTint="33"/>
          </w:tcPr>
          <w:p w:rsidR="009F40DD" w:rsidP="009F40DD" w:rsidRDefault="009F40DD" w14:paraId="33C09F99" w14:textId="77777777">
            <w:pPr>
              <w:rPr>
                <w:lang w:val="en-IE"/>
              </w:rPr>
            </w:pPr>
          </w:p>
          <w:p w:rsidRPr="00E45401" w:rsidR="009F40DD" w:rsidP="009F40DD" w:rsidRDefault="009F40DD" w14:paraId="7FB79103" w14:textId="77777777">
            <w:r>
              <w:rPr>
                <w:lang w:val="en-IE"/>
              </w:rPr>
              <w:t>Th</w:t>
            </w:r>
            <w:r w:rsidRPr="0072422F">
              <w:rPr>
                <w:lang w:val="en-IE"/>
              </w:rPr>
              <w:t xml:space="preserve">is document will give you some guidance as to which is the most appropriate Committee to apply to for ethical approval: </w:t>
            </w:r>
            <w:hyperlink w:tgtFrame="_blank" w:history="1" r:id="rId14">
              <w:r w:rsidR="00BA7BC2">
                <w:rPr>
                  <w:rStyle w:val="Hyperlink"/>
                  <w:lang w:val="en-IE"/>
                </w:rPr>
                <w:t>Introduction to Research Ethics at UCC</w:t>
              </w:r>
            </w:hyperlink>
          </w:p>
          <w:p w:rsidRPr="00054E6D" w:rsidR="009F40DD" w:rsidP="00FD5EB6" w:rsidRDefault="009F40DD" w14:paraId="40431787" w14:textId="77777777">
            <w:pPr>
              <w:jc w:val="both"/>
              <w:rPr>
                <w:u w:val="single"/>
                <w:lang w:val="en-IE"/>
              </w:rPr>
            </w:pPr>
          </w:p>
        </w:tc>
      </w:tr>
      <w:tr w:rsidR="0044257C" w:rsidTr="00191DCB" w14:paraId="1BB7201E" w14:textId="77777777">
        <w:trPr>
          <w:trHeight w:val="662"/>
        </w:trPr>
        <w:tc>
          <w:tcPr>
            <w:tcW w:w="9016" w:type="dxa"/>
            <w:gridSpan w:val="2"/>
            <w:shd w:val="clear" w:color="auto" w:fill="DAEEF3" w:themeFill="accent5" w:themeFillTint="33"/>
          </w:tcPr>
          <w:p w:rsidR="0044257C" w:rsidP="0044257C" w:rsidRDefault="0044257C" w14:paraId="022CA14C" w14:textId="77777777">
            <w:pPr>
              <w:rPr>
                <w:lang w:val="en-IE"/>
              </w:rPr>
            </w:pPr>
          </w:p>
          <w:p w:rsidR="0044257C" w:rsidP="0044257C" w:rsidRDefault="0044257C" w14:paraId="0534A120" w14:textId="77777777">
            <w:pPr>
              <w:rPr>
                <w:lang w:val="en-IE"/>
              </w:rPr>
            </w:pPr>
            <w:r w:rsidRPr="00EF13E1">
              <w:rPr>
                <w:lang w:val="en-IE"/>
              </w:rPr>
              <w:t>The link t</w:t>
            </w:r>
            <w:r w:rsidR="00DC205E">
              <w:rPr>
                <w:lang w:val="en-IE"/>
              </w:rPr>
              <w:t xml:space="preserve">o the ethics page at </w:t>
            </w:r>
            <w:commentRangeStart w:id="0"/>
            <w:r w:rsidR="00DC205E">
              <w:rPr>
                <w:lang w:val="en-IE"/>
              </w:rPr>
              <w:t>UCC</w:t>
            </w:r>
            <w:commentRangeEnd w:id="0"/>
            <w:r w:rsidR="00962F49">
              <w:rPr>
                <w:rStyle w:val="CommentReference"/>
              </w:rPr>
              <w:commentReference w:id="0"/>
            </w:r>
            <w:r w:rsidR="00DC205E">
              <w:rPr>
                <w:lang w:val="en-IE"/>
              </w:rPr>
              <w:t xml:space="preserve"> is</w:t>
            </w:r>
            <w:r w:rsidRPr="00EF13E1">
              <w:rPr>
                <w:lang w:val="en-IE"/>
              </w:rPr>
              <w:t xml:space="preserve"> </w:t>
            </w:r>
            <w:hyperlink w:history="1" r:id="rId18">
              <w:r w:rsidRPr="00D17260" w:rsidR="00962F49">
                <w:rPr>
                  <w:rStyle w:val="Hyperlink"/>
                  <w:lang w:val="en-IE"/>
                </w:rPr>
                <w:t>https://www.ucc.ie/en/research/support/ethics/</w:t>
              </w:r>
            </w:hyperlink>
          </w:p>
          <w:p w:rsidR="0044257C" w:rsidP="009F40DD" w:rsidRDefault="0044257C" w14:paraId="4F160B2A" w14:textId="77777777">
            <w:pPr>
              <w:rPr>
                <w:lang w:val="en-IE"/>
              </w:rPr>
            </w:pPr>
          </w:p>
        </w:tc>
      </w:tr>
    </w:tbl>
    <w:p w:rsidR="00191DCB" w:rsidP="0072422F" w:rsidRDefault="00191DCB" w14:paraId="5B57EF98" w14:textId="77777777">
      <w:pPr>
        <w:spacing w:line="240" w:lineRule="auto"/>
        <w:contextualSpacing/>
        <w:rPr>
          <w:lang w:val="en-IE"/>
        </w:rPr>
      </w:pPr>
    </w:p>
    <w:p w:rsidRPr="00316FF9" w:rsidR="00EF13E1" w:rsidP="074AF93D" w:rsidRDefault="00E45401" w14:paraId="578F8C1C" w14:textId="02C3FF68">
      <w:pPr>
        <w:pStyle w:val="ListParagraph"/>
        <w:numPr>
          <w:ilvl w:val="0"/>
          <w:numId w:val="1"/>
        </w:numPr>
        <w:spacing w:line="240" w:lineRule="auto"/>
        <w:rPr>
          <w:lang w:val="en-IE"/>
        </w:rPr>
      </w:pPr>
      <w:r w:rsidRPr="6B718A0D">
        <w:rPr>
          <w:lang w:val="en-IE"/>
        </w:rPr>
        <w:t>There are several codes of research ethics produced by universities, professional bodies</w:t>
      </w:r>
      <w:r w:rsidRPr="6B718A0D" w:rsidR="00817FF6">
        <w:rPr>
          <w:lang w:val="en-IE"/>
        </w:rPr>
        <w:t>,</w:t>
      </w:r>
      <w:r w:rsidRPr="6B718A0D">
        <w:rPr>
          <w:lang w:val="en-IE"/>
        </w:rPr>
        <w:t xml:space="preserve"> and others. SREC encourages applicants to refer to the ethics documents related to their own disciplines, but as a matter of </w:t>
      </w:r>
      <w:r w:rsidRPr="6B718A0D" w:rsidR="009062E8">
        <w:rPr>
          <w:lang w:val="en-IE"/>
        </w:rPr>
        <w:t>course,</w:t>
      </w:r>
      <w:r w:rsidRPr="6B718A0D">
        <w:rPr>
          <w:lang w:val="en-IE"/>
        </w:rPr>
        <w:t xml:space="preserve"> all applicants ought to be familiar with the </w:t>
      </w:r>
      <w:hyperlink r:id="rId19">
        <w:r w:rsidR="00D67058">
          <w:rPr>
            <w:rStyle w:val="Hyperlink"/>
          </w:rPr>
          <w:t>UCC Code of Research Conduct</w:t>
        </w:r>
      </w:hyperlink>
      <w:r w:rsidR="00316FF9">
        <w:t xml:space="preserve"> </w:t>
      </w:r>
      <w:r w:rsidR="000052B3">
        <w:t xml:space="preserve">. </w:t>
      </w:r>
      <w:r>
        <w:t>The</w:t>
      </w:r>
      <w:r w:rsidR="000C4A4C">
        <w:t xml:space="preserve"> </w:t>
      </w:r>
      <w:r>
        <w:t xml:space="preserve">approach of the </w:t>
      </w:r>
      <w:r w:rsidR="00AB06C2">
        <w:t>Social Research Ethics Committee (SREC)</w:t>
      </w:r>
      <w:r>
        <w:t xml:space="preserve"> is to be enabling and to offer advice to researchers to strengthen the ethical approach in their study. However, there are common issues which impact on researchers securing approval. The purpose of this document is to proactively address these to help strengthen applications and the ethical review process.to help strengthen applications and the ethical review process.</w:t>
      </w:r>
    </w:p>
    <w:p w:rsidR="00E45401" w:rsidP="00EF13E1" w:rsidRDefault="00E45401" w14:paraId="38FEEB9C" w14:textId="77777777">
      <w:pPr>
        <w:pStyle w:val="ListParagraph"/>
        <w:numPr>
          <w:ilvl w:val="0"/>
          <w:numId w:val="1"/>
        </w:numPr>
        <w:spacing w:line="240" w:lineRule="auto"/>
        <w:ind w:left="714" w:hanging="357"/>
        <w:contextualSpacing w:val="0"/>
        <w:jc w:val="both"/>
      </w:pPr>
      <w:r>
        <w:t>We must also remember that our duty of care to research participants extends from the conception of the project to post-dissemination of findings and that ethical approval once granted does not and should not displace ethical engagement for the duration of a research project</w:t>
      </w:r>
      <w:r w:rsidR="00B60AAE">
        <w:t>.</w:t>
      </w:r>
    </w:p>
    <w:p w:rsidR="00EF13E1" w:rsidP="00EF13E1" w:rsidRDefault="00E45401" w14:paraId="26A1868E" w14:textId="77777777">
      <w:pPr>
        <w:spacing w:line="240" w:lineRule="auto"/>
        <w:jc w:val="both"/>
      </w:pPr>
      <w:r w:rsidRPr="009B4A7E">
        <w:rPr>
          <w:b/>
          <w:bCs/>
          <w:color w:val="C00000"/>
          <w:lang w:val="en-IE"/>
        </w:rPr>
        <w:t>Do I need research ethics approval for my research? </w:t>
      </w:r>
      <w:r w:rsidRPr="00E45401">
        <w:rPr>
          <w:lang w:val="en-IE"/>
        </w:rPr>
        <w:t>Research ethics approval is required for all research involving direct and indirect interaction with human participants (</w:t>
      </w:r>
      <w:r w:rsidRPr="00544E2F" w:rsidR="00114060">
        <w:rPr>
          <w:lang w:val="en-IE"/>
        </w:rPr>
        <w:t xml:space="preserve">via computer </w:t>
      </w:r>
      <w:r w:rsidR="00544E2F">
        <w:rPr>
          <w:lang w:val="en-IE"/>
        </w:rPr>
        <w:t xml:space="preserve">/ </w:t>
      </w:r>
      <w:r w:rsidRPr="00544E2F" w:rsidR="00114060">
        <w:rPr>
          <w:lang w:val="en-IE"/>
        </w:rPr>
        <w:t>internet,</w:t>
      </w:r>
      <w:r w:rsidR="00114060">
        <w:rPr>
          <w:lang w:val="en-IE"/>
        </w:rPr>
        <w:t xml:space="preserve"> in </w:t>
      </w:r>
      <w:r w:rsidRPr="00E45401">
        <w:rPr>
          <w:lang w:val="en-IE"/>
        </w:rPr>
        <w:t xml:space="preserve">clinical or other settings) and/or which uses personal data of identifiable individuals. It is also required for any </w:t>
      </w:r>
      <w:r w:rsidRPr="00E45401" w:rsidR="009062E8">
        <w:rPr>
          <w:lang w:val="en-IE"/>
        </w:rPr>
        <w:t>research that</w:t>
      </w:r>
      <w:r w:rsidRPr="00E45401">
        <w:rPr>
          <w:lang w:val="en-IE"/>
        </w:rPr>
        <w:t xml:space="preserve"> involves the use of animals.</w:t>
      </w:r>
    </w:p>
    <w:p w:rsidR="002F3195" w:rsidP="00AA780E" w:rsidRDefault="00E45401" w14:paraId="0D4CB50E" w14:textId="77777777">
      <w:pPr>
        <w:spacing w:line="240" w:lineRule="auto"/>
        <w:contextualSpacing/>
        <w:jc w:val="both"/>
      </w:pPr>
      <w:r w:rsidRPr="009B4A7E">
        <w:rPr>
          <w:b/>
          <w:bCs/>
          <w:color w:val="C00000"/>
          <w:lang w:val="en-IE"/>
        </w:rPr>
        <w:t>When do I need to obtain research approval? </w:t>
      </w:r>
      <w:r w:rsidR="009B4A7E">
        <w:rPr>
          <w:lang w:val="en-IE"/>
        </w:rPr>
        <w:t xml:space="preserve"> </w:t>
      </w:r>
      <w:r w:rsidRPr="00E45401">
        <w:rPr>
          <w:lang w:val="en-IE"/>
        </w:rPr>
        <w:t>Research approval must</w:t>
      </w:r>
      <w:r w:rsidRPr="000C4A4C">
        <w:rPr>
          <w:b/>
          <w:bCs/>
          <w:lang w:val="en-IE"/>
        </w:rPr>
        <w:t> </w:t>
      </w:r>
      <w:r w:rsidRPr="000C4A4C">
        <w:rPr>
          <w:b/>
          <w:bCs/>
          <w:u w:val="single"/>
          <w:lang w:val="en-IE"/>
        </w:rPr>
        <w:t>always</w:t>
      </w:r>
      <w:r w:rsidRPr="00E45401">
        <w:rPr>
          <w:lang w:val="en-IE"/>
        </w:rPr>
        <w:t> be obtained in advance of carrying out the research</w:t>
      </w:r>
      <w:r w:rsidR="00114060">
        <w:rPr>
          <w:lang w:val="en-IE"/>
        </w:rPr>
        <w:t xml:space="preserve"> </w:t>
      </w:r>
      <w:r w:rsidRPr="00AA780E" w:rsidR="00114060">
        <w:rPr>
          <w:lang w:val="en-IE"/>
        </w:rPr>
        <w:t>and ethical approach cannot be granted retrospectively</w:t>
      </w:r>
      <w:r w:rsidRPr="00AA780E">
        <w:rPr>
          <w:lang w:val="en-IE"/>
        </w:rPr>
        <w:t>.</w:t>
      </w:r>
      <w:r w:rsidRPr="002441C9" w:rsidR="002441C9">
        <w:t xml:space="preserve"> </w:t>
      </w:r>
      <w:r w:rsidRPr="002F0544" w:rsidR="002441C9">
        <w:t xml:space="preserve">Only when you obtain approval for your research, can you start that part of the </w:t>
      </w:r>
      <w:r w:rsidRPr="002F0544" w:rsidR="009062E8">
        <w:t>research, which</w:t>
      </w:r>
      <w:r w:rsidRPr="002F0544" w:rsidR="002441C9">
        <w:t xml:space="preserve"> involves people. </w:t>
      </w:r>
    </w:p>
    <w:p w:rsidRPr="00191DCB" w:rsidR="00054E6D" w:rsidP="00AA780E" w:rsidRDefault="0045249B" w14:paraId="3FD14FDC" w14:textId="3CC283F2">
      <w:pPr>
        <w:spacing w:line="240" w:lineRule="auto"/>
        <w:contextualSpacing/>
        <w:jc w:val="both"/>
      </w:pPr>
      <w:r>
        <w:rPr>
          <w:b/>
          <w:lang w:val="en-IE"/>
        </w:rPr>
        <w:t xml:space="preserve">Section 1 - </w:t>
      </w:r>
      <w:r w:rsidRPr="00054E6D" w:rsidR="00054E6D">
        <w:rPr>
          <w:b/>
          <w:lang w:val="en-IE"/>
        </w:rPr>
        <w:t>Guidance for Applicants</w:t>
      </w:r>
    </w:p>
    <w:p w:rsidRPr="00E45401" w:rsidR="00E45401" w:rsidP="00AA780E" w:rsidRDefault="00E45401" w14:paraId="5BF17F4A" w14:textId="77777777">
      <w:pPr>
        <w:spacing w:line="240" w:lineRule="auto"/>
        <w:jc w:val="both"/>
      </w:pPr>
      <w:r w:rsidRPr="00E45401">
        <w:rPr>
          <w:lang w:val="en-IE"/>
        </w:rPr>
        <w:lastRenderedPageBreak/>
        <w:t xml:space="preserve">Please make sure that you give yourself a good </w:t>
      </w:r>
      <w:r w:rsidRPr="00E45401" w:rsidR="009C6490">
        <w:rPr>
          <w:lang w:val="en-IE"/>
        </w:rPr>
        <w:t>lead-time</w:t>
      </w:r>
      <w:r w:rsidRPr="00E45401">
        <w:rPr>
          <w:lang w:val="en-IE"/>
        </w:rPr>
        <w:t xml:space="preserve"> in applying for ethics approval. Normally applicants should expect to hear from SREC within 2 to 3 weeks with a decision within 6 weeks. </w:t>
      </w:r>
      <w:r w:rsidR="00114060">
        <w:rPr>
          <w:lang w:val="en-IE"/>
        </w:rPr>
        <w:t>A</w:t>
      </w:r>
      <w:r w:rsidR="00F86736">
        <w:rPr>
          <w:lang w:val="en-IE"/>
        </w:rPr>
        <w:t xml:space="preserve"> substantial increase in the volume of applications</w:t>
      </w:r>
      <w:r w:rsidRPr="00E45401">
        <w:rPr>
          <w:lang w:val="en-IE"/>
        </w:rPr>
        <w:t xml:space="preserve"> </w:t>
      </w:r>
      <w:r w:rsidR="00114060">
        <w:rPr>
          <w:lang w:val="en-IE"/>
        </w:rPr>
        <w:t xml:space="preserve">may </w:t>
      </w:r>
      <w:r>
        <w:rPr>
          <w:lang w:val="en-IE"/>
        </w:rPr>
        <w:t xml:space="preserve">result </w:t>
      </w:r>
      <w:r w:rsidR="00114060">
        <w:rPr>
          <w:lang w:val="en-IE"/>
        </w:rPr>
        <w:t>in</w:t>
      </w:r>
      <w:r w:rsidRPr="00E45401">
        <w:rPr>
          <w:lang w:val="en-IE"/>
        </w:rPr>
        <w:t xml:space="preserve"> some additional delays with </w:t>
      </w:r>
      <w:r w:rsidR="00114060">
        <w:rPr>
          <w:lang w:val="en-IE"/>
        </w:rPr>
        <w:t>the</w:t>
      </w:r>
      <w:r w:rsidRPr="00E45401">
        <w:rPr>
          <w:lang w:val="en-IE"/>
        </w:rPr>
        <w:t xml:space="preserve"> reviewing process. </w:t>
      </w:r>
      <w:r w:rsidR="00817FF6">
        <w:rPr>
          <w:lang w:val="en-IE"/>
        </w:rPr>
        <w:t>However,</w:t>
      </w:r>
      <w:r w:rsidRPr="00E45401">
        <w:rPr>
          <w:lang w:val="en-IE"/>
        </w:rPr>
        <w:t xml:space="preserve"> </w:t>
      </w:r>
      <w:r w:rsidR="00114060">
        <w:rPr>
          <w:lang w:val="en-IE"/>
        </w:rPr>
        <w:t>every effort is made to process</w:t>
      </w:r>
      <w:r w:rsidRPr="00E45401">
        <w:rPr>
          <w:lang w:val="en-IE"/>
        </w:rPr>
        <w:t xml:space="preserve"> applications </w:t>
      </w:r>
      <w:r w:rsidR="00114060">
        <w:rPr>
          <w:lang w:val="en-IE"/>
        </w:rPr>
        <w:t>as qui</w:t>
      </w:r>
      <w:r w:rsidRPr="00E45401">
        <w:rPr>
          <w:lang w:val="en-IE"/>
        </w:rPr>
        <w:t xml:space="preserve">ckly as </w:t>
      </w:r>
      <w:r w:rsidR="00114060">
        <w:rPr>
          <w:lang w:val="en-IE"/>
        </w:rPr>
        <w:t>possible</w:t>
      </w:r>
      <w:r w:rsidRPr="00E45401">
        <w:rPr>
          <w:lang w:val="en-IE"/>
        </w:rPr>
        <w:t>.</w:t>
      </w:r>
    </w:p>
    <w:p w:rsidRPr="00E45401" w:rsidR="00E45401" w:rsidP="00AA780E" w:rsidRDefault="00E45401" w14:paraId="5AAD27F3" w14:textId="77777777">
      <w:pPr>
        <w:spacing w:line="240" w:lineRule="auto"/>
        <w:jc w:val="both"/>
      </w:pPr>
      <w:r w:rsidRPr="00E45401">
        <w:t> </w:t>
      </w:r>
      <w:r w:rsidRPr="00E45401">
        <w:rPr>
          <w:lang w:val="en-IE"/>
        </w:rPr>
        <w:t>The operational pro</w:t>
      </w:r>
      <w:r w:rsidR="00B60AAE">
        <w:rPr>
          <w:lang w:val="en-IE"/>
        </w:rPr>
        <w:t>cedures for SREC are as follows</w:t>
      </w:r>
    </w:p>
    <w:p w:rsidRPr="00E45401" w:rsidR="00E45401" w:rsidP="00AA780E" w:rsidRDefault="00E45401" w14:paraId="3FE28EF6" w14:textId="77777777">
      <w:pPr>
        <w:numPr>
          <w:ilvl w:val="0"/>
          <w:numId w:val="2"/>
        </w:numPr>
        <w:spacing w:line="240" w:lineRule="auto"/>
        <w:ind w:hanging="357"/>
        <w:contextualSpacing/>
        <w:jc w:val="both"/>
      </w:pPr>
      <w:r w:rsidRPr="00E45401">
        <w:rPr>
          <w:lang w:val="en-IE"/>
        </w:rPr>
        <w:t>SREC has a list of trained and experienced revi</w:t>
      </w:r>
      <w:r w:rsidR="00B60AAE">
        <w:rPr>
          <w:lang w:val="en-IE"/>
        </w:rPr>
        <w:t>ewers</w:t>
      </w:r>
    </w:p>
    <w:p w:rsidRPr="00185A81" w:rsidR="00E45401" w:rsidP="00AA780E" w:rsidRDefault="00E45401" w14:paraId="71934C9B" w14:textId="77777777">
      <w:pPr>
        <w:numPr>
          <w:ilvl w:val="0"/>
          <w:numId w:val="2"/>
        </w:numPr>
        <w:spacing w:line="240" w:lineRule="auto"/>
        <w:ind w:hanging="357"/>
        <w:contextualSpacing/>
        <w:jc w:val="both"/>
      </w:pPr>
      <w:r w:rsidRPr="00E45401">
        <w:rPr>
          <w:lang w:val="en-IE"/>
        </w:rPr>
        <w:t xml:space="preserve">When each application is submitted, it is </w:t>
      </w:r>
      <w:r w:rsidR="00696E9D">
        <w:rPr>
          <w:lang w:val="en-IE"/>
        </w:rPr>
        <w:t>assigned via email to the next two</w:t>
      </w:r>
      <w:r w:rsidRPr="00E45401">
        <w:rPr>
          <w:lang w:val="en-IE"/>
        </w:rPr>
        <w:t xml:space="preserve"> reviewers on the list.</w:t>
      </w:r>
    </w:p>
    <w:p w:rsidR="00185A81" w:rsidP="00185A81" w:rsidRDefault="00185A81" w14:paraId="3AEEBCF6" w14:textId="77777777">
      <w:pPr>
        <w:spacing w:line="240" w:lineRule="auto"/>
        <w:contextualSpacing/>
        <w:jc w:val="both"/>
        <w:rPr>
          <w:lang w:val="en-IE"/>
        </w:rPr>
      </w:pPr>
    </w:p>
    <w:p w:rsidR="00185A81" w:rsidP="00185A81" w:rsidRDefault="00185A81" w14:paraId="73D3FD82" w14:textId="77777777">
      <w:pPr>
        <w:spacing w:line="240" w:lineRule="auto"/>
        <w:jc w:val="both"/>
        <w:rPr>
          <w:lang w:val="en-IE"/>
        </w:rPr>
      </w:pPr>
      <w:r>
        <w:rPr>
          <w:lang w:val="en-IE"/>
        </w:rPr>
        <w:t xml:space="preserve">You will find the following in the </w:t>
      </w:r>
      <w:hyperlink w:history="1" r:id="rId20">
        <w:r>
          <w:rPr>
            <w:rStyle w:val="Hyperlink"/>
          </w:rPr>
          <w:t>Social Research</w:t>
        </w:r>
      </w:hyperlink>
      <w:r w:rsidRPr="00E45401">
        <w:rPr>
          <w:lang w:val="en-IE"/>
        </w:rPr>
        <w:t xml:space="preserve"> </w:t>
      </w:r>
      <w:r>
        <w:rPr>
          <w:lang w:val="en-IE"/>
        </w:rPr>
        <w:t xml:space="preserve">section </w:t>
      </w:r>
      <w:r w:rsidRPr="00E45401">
        <w:rPr>
          <w:lang w:val="en-IE"/>
        </w:rPr>
        <w:t>of the ethics</w:t>
      </w:r>
      <w:r>
        <w:rPr>
          <w:lang w:val="en-IE"/>
        </w:rPr>
        <w:t xml:space="preserve"> webpage </w:t>
      </w:r>
    </w:p>
    <w:p w:rsidRPr="00185A81" w:rsidR="00185A81" w:rsidP="00185A81" w:rsidRDefault="00185A81" w14:paraId="26B163C2" w14:textId="77777777">
      <w:pPr>
        <w:pStyle w:val="ListParagraph"/>
        <w:numPr>
          <w:ilvl w:val="0"/>
          <w:numId w:val="18"/>
        </w:numPr>
        <w:spacing w:line="240" w:lineRule="auto"/>
        <w:jc w:val="both"/>
        <w:rPr>
          <w:lang w:val="en-IE"/>
        </w:rPr>
      </w:pPr>
      <w:r w:rsidRPr="00185A81">
        <w:rPr>
          <w:lang w:val="en-IE"/>
        </w:rPr>
        <w:t>A copy of the SREC Application Form</w:t>
      </w:r>
    </w:p>
    <w:p w:rsidRPr="00185A81" w:rsidR="00185A81" w:rsidP="00185A81" w:rsidRDefault="00185A81" w14:paraId="7E4CC2F1" w14:textId="77777777">
      <w:pPr>
        <w:pStyle w:val="ListParagraph"/>
        <w:numPr>
          <w:ilvl w:val="0"/>
          <w:numId w:val="18"/>
        </w:numPr>
        <w:spacing w:line="240" w:lineRule="auto"/>
        <w:jc w:val="both"/>
        <w:rPr>
          <w:lang w:val="en-IE"/>
        </w:rPr>
      </w:pPr>
      <w:r w:rsidRPr="00185A81">
        <w:rPr>
          <w:lang w:val="en-IE"/>
        </w:rPr>
        <w:t>Sample info sheets and consent forms</w:t>
      </w:r>
    </w:p>
    <w:p w:rsidR="00E45401" w:rsidP="00536F13" w:rsidRDefault="00185A81" w14:paraId="61DFA3F7" w14:textId="77777777">
      <w:pPr>
        <w:pStyle w:val="ListParagraph"/>
        <w:numPr>
          <w:ilvl w:val="0"/>
          <w:numId w:val="18"/>
        </w:numPr>
        <w:spacing w:line="240" w:lineRule="auto"/>
        <w:jc w:val="both"/>
        <w:rPr>
          <w:lang w:val="en-IE"/>
        </w:rPr>
      </w:pPr>
      <w:r w:rsidRPr="00185A81">
        <w:rPr>
          <w:lang w:val="en-IE"/>
        </w:rPr>
        <w:t>FAQs</w:t>
      </w:r>
    </w:p>
    <w:tbl>
      <w:tblPr>
        <w:tblW w:w="9480" w:type="dxa"/>
        <w:tblInd w:w="-170" w:type="dxa"/>
        <w:tblLook w:val="0000" w:firstRow="0" w:lastRow="0" w:firstColumn="0" w:lastColumn="0" w:noHBand="0" w:noVBand="0"/>
      </w:tblPr>
      <w:tblGrid>
        <w:gridCol w:w="9480"/>
      </w:tblGrid>
      <w:tr w:rsidR="004E0565" w:rsidTr="003B69E7" w14:paraId="0450DF35" w14:textId="77777777">
        <w:trPr>
          <w:trHeight w:val="403"/>
        </w:trPr>
        <w:tc>
          <w:tcPr>
            <w:tcW w:w="9480" w:type="dxa"/>
            <w:tcBorders>
              <w:top w:val="single" w:color="4F81BD" w:themeColor="accent1" w:sz="4" w:space="0"/>
              <w:left w:val="single" w:color="4F81BD" w:themeColor="accent1" w:sz="4" w:space="0"/>
              <w:right w:val="single" w:color="4F81BD" w:themeColor="accent1" w:sz="4" w:space="0"/>
            </w:tcBorders>
            <w:shd w:val="clear" w:color="auto" w:fill="FFFFCC"/>
          </w:tcPr>
          <w:p w:rsidR="004E0565" w:rsidP="004E0565" w:rsidRDefault="004E0565" w14:paraId="76465C53" w14:textId="77777777">
            <w:pPr>
              <w:spacing w:line="240" w:lineRule="auto"/>
              <w:jc w:val="both"/>
            </w:pPr>
            <w:r w:rsidRPr="002F3195">
              <w:rPr>
                <w:b/>
                <w:color w:val="C00000"/>
                <w:sz w:val="28"/>
                <w:lang w:val="en-IE"/>
              </w:rPr>
              <w:t>Common errors</w:t>
            </w:r>
            <w:r w:rsidRPr="002F3195">
              <w:rPr>
                <w:sz w:val="28"/>
                <w:lang w:val="en-IE"/>
              </w:rPr>
              <w:t xml:space="preserve"> </w:t>
            </w:r>
            <w:r>
              <w:rPr>
                <w:lang w:val="en-IE"/>
              </w:rPr>
              <w:t xml:space="preserve">made by applicants: </w:t>
            </w:r>
            <w:r w:rsidRPr="00E45401">
              <w:rPr>
                <w:lang w:val="en-IE"/>
              </w:rPr>
              <w:t xml:space="preserve"> </w:t>
            </w:r>
          </w:p>
        </w:tc>
      </w:tr>
      <w:tr w:rsidR="004E0565" w:rsidTr="003B69E7" w14:paraId="795C5709" w14:textId="77777777">
        <w:trPr>
          <w:trHeight w:val="594"/>
        </w:trPr>
        <w:tc>
          <w:tcPr>
            <w:tcW w:w="9480" w:type="dxa"/>
            <w:tcBorders>
              <w:left w:val="single" w:color="4F81BD" w:themeColor="accent1" w:sz="4" w:space="0"/>
              <w:right w:val="single" w:color="4F81BD" w:themeColor="accent1" w:sz="4" w:space="0"/>
            </w:tcBorders>
            <w:shd w:val="clear" w:color="auto" w:fill="FFFFCC"/>
          </w:tcPr>
          <w:p w:rsidRPr="00E45401" w:rsidR="004E0565" w:rsidP="009752D4" w:rsidRDefault="009752D4" w14:paraId="2D8F9BE4" w14:textId="77777777">
            <w:pPr>
              <w:pStyle w:val="ListParagraph"/>
              <w:numPr>
                <w:ilvl w:val="0"/>
                <w:numId w:val="17"/>
              </w:numPr>
              <w:spacing w:line="240" w:lineRule="auto"/>
              <w:jc w:val="both"/>
            </w:pPr>
            <w:r>
              <w:rPr>
                <w:lang w:val="en-IE"/>
              </w:rPr>
              <w:t>Forgetting to complete the Application C</w:t>
            </w:r>
            <w:r w:rsidRPr="004E0565" w:rsidR="004E0565">
              <w:rPr>
                <w:lang w:val="en-IE"/>
              </w:rPr>
              <w:t xml:space="preserve">hecklist and the Self Evaluation Checklist </w:t>
            </w:r>
          </w:p>
        </w:tc>
      </w:tr>
      <w:tr w:rsidR="004E0565" w:rsidTr="003B69E7" w14:paraId="6F0D1A4A" w14:textId="77777777">
        <w:trPr>
          <w:trHeight w:val="675"/>
        </w:trPr>
        <w:tc>
          <w:tcPr>
            <w:tcW w:w="9480" w:type="dxa"/>
            <w:tcBorders>
              <w:left w:val="single" w:color="4F81BD" w:themeColor="accent1" w:sz="4" w:space="0"/>
              <w:right w:val="single" w:color="4F81BD" w:themeColor="accent1" w:sz="4" w:space="0"/>
            </w:tcBorders>
            <w:shd w:val="clear" w:color="auto" w:fill="FFFFCC"/>
          </w:tcPr>
          <w:p w:rsidRPr="004E0565" w:rsidR="004E0565" w:rsidP="003B69E7" w:rsidRDefault="004E0565" w14:paraId="6683F2F9" w14:textId="77777777">
            <w:pPr>
              <w:pStyle w:val="ListParagraph"/>
              <w:numPr>
                <w:ilvl w:val="0"/>
                <w:numId w:val="17"/>
              </w:numPr>
              <w:spacing w:line="240" w:lineRule="auto"/>
              <w:jc w:val="both"/>
              <w:rPr>
                <w:lang w:val="en-IE"/>
              </w:rPr>
            </w:pPr>
            <w:r w:rsidRPr="004E0565">
              <w:rPr>
                <w:lang w:val="en-IE"/>
              </w:rPr>
              <w:t>Failing to complete the declarations section on Q36 and/or forgetting to sign and/or obtain supervisors’ signature</w:t>
            </w:r>
            <w:r w:rsidR="00C2199D">
              <w:rPr>
                <w:lang w:val="en-IE"/>
              </w:rPr>
              <w:t xml:space="preserve"> (if applicable)</w:t>
            </w:r>
            <w:r w:rsidRPr="004E0565">
              <w:rPr>
                <w:lang w:val="en-IE"/>
              </w:rPr>
              <w:t xml:space="preserve"> on the form (Q37)</w:t>
            </w:r>
          </w:p>
        </w:tc>
      </w:tr>
      <w:tr w:rsidR="004E0565" w:rsidTr="003B69E7" w14:paraId="45CAAFF3" w14:textId="77777777">
        <w:trPr>
          <w:trHeight w:val="1095"/>
        </w:trPr>
        <w:tc>
          <w:tcPr>
            <w:tcW w:w="9480" w:type="dxa"/>
            <w:tcBorders>
              <w:left w:val="single" w:color="4F81BD" w:themeColor="accent1" w:sz="4" w:space="0"/>
              <w:right w:val="single" w:color="4F81BD" w:themeColor="accent1" w:sz="4" w:space="0"/>
            </w:tcBorders>
            <w:shd w:val="clear" w:color="auto" w:fill="FFFFCC"/>
          </w:tcPr>
          <w:p w:rsidRPr="004E0565" w:rsidR="004E0565" w:rsidP="003B69E7" w:rsidRDefault="004E0565" w14:paraId="64B66EEF" w14:textId="77777777">
            <w:pPr>
              <w:pStyle w:val="ListParagraph"/>
              <w:numPr>
                <w:ilvl w:val="0"/>
                <w:numId w:val="17"/>
              </w:numPr>
              <w:spacing w:line="240" w:lineRule="auto"/>
              <w:jc w:val="both"/>
              <w:rPr>
                <w:lang w:val="en-IE"/>
              </w:rPr>
            </w:pPr>
            <w:r w:rsidRPr="004E0565">
              <w:rPr>
                <w:lang w:val="en-IE"/>
              </w:rPr>
              <w:t>Forgetting to include required supporting documentation such as copies of questionnaires/interview questions (as applicable), information sheet, consent forms, recruitment materials etc. which should be added to the end of the application form and </w:t>
            </w:r>
            <w:r w:rsidRPr="004E0565">
              <w:rPr>
                <w:b/>
                <w:u w:val="single"/>
                <w:lang w:val="en-IE"/>
              </w:rPr>
              <w:t>scanned as one pdf</w:t>
            </w:r>
          </w:p>
        </w:tc>
      </w:tr>
      <w:tr w:rsidR="004E0565" w:rsidTr="003B69E7" w14:paraId="4B7C960C" w14:textId="77777777">
        <w:trPr>
          <w:trHeight w:val="615"/>
        </w:trPr>
        <w:tc>
          <w:tcPr>
            <w:tcW w:w="9480" w:type="dxa"/>
            <w:tcBorders>
              <w:left w:val="single" w:color="4F81BD" w:themeColor="accent1" w:sz="4" w:space="0"/>
              <w:right w:val="single" w:color="4F81BD" w:themeColor="accent1" w:sz="4" w:space="0"/>
            </w:tcBorders>
            <w:shd w:val="clear" w:color="auto" w:fill="FFFFCC"/>
          </w:tcPr>
          <w:p w:rsidRPr="004E0565" w:rsidR="004E0565" w:rsidP="003B69E7" w:rsidRDefault="004E0565" w14:paraId="0BCCD10D" w14:textId="77777777">
            <w:pPr>
              <w:pStyle w:val="ListParagraph"/>
              <w:numPr>
                <w:ilvl w:val="0"/>
                <w:numId w:val="17"/>
              </w:numPr>
              <w:spacing w:line="240" w:lineRule="auto"/>
              <w:jc w:val="both"/>
              <w:rPr>
                <w:lang w:val="en-IE"/>
              </w:rPr>
            </w:pPr>
            <w:r w:rsidRPr="004E0565">
              <w:rPr>
                <w:lang w:val="en-IE"/>
              </w:rPr>
              <w:t>Not adequately addressing storage requirements on Q30 (see Electronic Data Storage Guidelines on the SREC form)</w:t>
            </w:r>
          </w:p>
        </w:tc>
      </w:tr>
      <w:tr w:rsidR="004E0565" w:rsidTr="003B69E7" w14:paraId="43D17EC3" w14:textId="77777777">
        <w:trPr>
          <w:trHeight w:val="578"/>
        </w:trPr>
        <w:tc>
          <w:tcPr>
            <w:tcW w:w="9480" w:type="dxa"/>
            <w:tcBorders>
              <w:left w:val="single" w:color="4F81BD" w:themeColor="accent1" w:sz="4" w:space="0"/>
              <w:right w:val="single" w:color="4F81BD" w:themeColor="accent1" w:sz="4" w:space="0"/>
            </w:tcBorders>
            <w:shd w:val="clear" w:color="auto" w:fill="FFFFCC"/>
          </w:tcPr>
          <w:p w:rsidR="004E0565" w:rsidP="003B69E7" w:rsidRDefault="004E0565" w14:paraId="44048CFB" w14:textId="7946F90D">
            <w:pPr>
              <w:pStyle w:val="ListParagraph"/>
              <w:numPr>
                <w:ilvl w:val="0"/>
                <w:numId w:val="17"/>
              </w:numPr>
              <w:spacing w:line="240" w:lineRule="auto"/>
              <w:jc w:val="both"/>
              <w:rPr>
                <w:lang w:val="en-IE"/>
              </w:rPr>
            </w:pPr>
            <w:r w:rsidRPr="004E0565">
              <w:rPr>
                <w:lang w:val="en-IE"/>
              </w:rPr>
              <w:t xml:space="preserve">Failing to </w:t>
            </w:r>
            <w:r w:rsidRPr="004E0565" w:rsidR="00817FF6">
              <w:rPr>
                <w:lang w:val="en-IE"/>
              </w:rPr>
              <w:t>proofread</w:t>
            </w:r>
            <w:r w:rsidRPr="004E0565">
              <w:rPr>
                <w:lang w:val="en-IE"/>
              </w:rPr>
              <w:t xml:space="preserve"> applications and supporting documentation</w:t>
            </w:r>
            <w:r w:rsidR="009752D4">
              <w:rPr>
                <w:lang w:val="en-IE"/>
              </w:rPr>
              <w:t>,</w:t>
            </w:r>
            <w:r w:rsidRPr="004E0565">
              <w:rPr>
                <w:lang w:val="en-IE"/>
              </w:rPr>
              <w:t xml:space="preserve"> to correct errors.</w:t>
            </w:r>
          </w:p>
          <w:p w:rsidR="002A7180" w:rsidP="002A7180" w:rsidRDefault="002A7180" w14:paraId="32CD61EF" w14:textId="77777777">
            <w:pPr>
              <w:pStyle w:val="ListParagraph"/>
              <w:spacing w:line="240" w:lineRule="auto"/>
              <w:jc w:val="both"/>
              <w:rPr>
                <w:lang w:val="en-IE"/>
              </w:rPr>
            </w:pPr>
          </w:p>
          <w:p w:rsidRPr="004E0565" w:rsidR="002A7180" w:rsidP="003B69E7" w:rsidRDefault="002A7180" w14:paraId="0595184A" w14:textId="63FA6D3C">
            <w:pPr>
              <w:pStyle w:val="ListParagraph"/>
              <w:numPr>
                <w:ilvl w:val="0"/>
                <w:numId w:val="17"/>
              </w:numPr>
              <w:spacing w:line="240" w:lineRule="auto"/>
              <w:jc w:val="both"/>
              <w:rPr>
                <w:lang w:val="en-IE"/>
              </w:rPr>
            </w:pPr>
            <w:r>
              <w:rPr>
                <w:lang w:val="en-IE"/>
              </w:rPr>
              <w:t>Applications being overly long. (Guideline: 10 – 20 pages is common, with 25 – 30 pages for some)</w:t>
            </w:r>
          </w:p>
        </w:tc>
      </w:tr>
      <w:tr w:rsidR="004E0565" w:rsidTr="003B69E7" w14:paraId="252A5E19" w14:textId="77777777">
        <w:trPr>
          <w:trHeight w:val="1080"/>
        </w:trPr>
        <w:tc>
          <w:tcPr>
            <w:tcW w:w="9480" w:type="dxa"/>
            <w:tcBorders>
              <w:left w:val="single" w:color="4F81BD" w:themeColor="accent1" w:sz="4" w:space="0"/>
              <w:bottom w:val="single" w:color="4F81BD" w:themeColor="accent1" w:sz="4" w:space="0"/>
              <w:right w:val="single" w:color="4F81BD" w:themeColor="accent1" w:sz="4" w:space="0"/>
            </w:tcBorders>
            <w:shd w:val="clear" w:color="auto" w:fill="FFFFCC"/>
          </w:tcPr>
          <w:p w:rsidRPr="002A7180" w:rsidR="009752D4" w:rsidP="002A7180" w:rsidRDefault="004E0565" w14:paraId="7AA19DA9" w14:textId="75D77562">
            <w:pPr>
              <w:pStyle w:val="ListParagraph"/>
              <w:numPr>
                <w:ilvl w:val="0"/>
                <w:numId w:val="17"/>
              </w:numPr>
              <w:spacing w:line="240" w:lineRule="auto"/>
              <w:jc w:val="both"/>
              <w:rPr>
                <w:lang w:val="en-IE"/>
              </w:rPr>
            </w:pPr>
            <w:r w:rsidRPr="004E0565">
              <w:rPr>
                <w:lang w:val="en-IE"/>
              </w:rPr>
              <w:t xml:space="preserve">Please see additional guidelines on completing SREC Application forms in Section 2 below and please remember that application forms will have to be returned if they are not completed correctly or completely. </w:t>
            </w:r>
          </w:p>
        </w:tc>
      </w:tr>
    </w:tbl>
    <w:p w:rsidRPr="00316FF9" w:rsidR="00BB2A7A" w:rsidP="003B69E7" w:rsidRDefault="00BB2A7A" w14:paraId="7B1E5BAF" w14:textId="4E111F3D">
      <w:pPr>
        <w:spacing w:line="240" w:lineRule="auto"/>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6"/>
      </w:tblGrid>
      <w:tr w:rsidR="00E35043" w:rsidTr="00E35043" w14:paraId="270A8599" w14:textId="77777777">
        <w:trPr>
          <w:trHeight w:val="384"/>
        </w:trPr>
        <w:tc>
          <w:tcPr>
            <w:tcW w:w="9016" w:type="dxa"/>
            <w:shd w:val="clear" w:color="auto" w:fill="D9D9D9" w:themeFill="background1" w:themeFillShade="D9"/>
          </w:tcPr>
          <w:p w:rsidR="004F143D" w:rsidP="004F143D" w:rsidRDefault="004F143D" w14:paraId="7CF390E4" w14:textId="77777777">
            <w:pPr>
              <w:spacing w:line="240" w:lineRule="auto"/>
              <w:rPr>
                <w:b/>
                <w:bCs/>
                <w:lang w:val="en-IE"/>
              </w:rPr>
            </w:pPr>
            <w:r w:rsidRPr="003C2DB7">
              <w:rPr>
                <w:b/>
                <w:bCs/>
                <w:sz w:val="28"/>
                <w:lang w:val="en-IE"/>
              </w:rPr>
              <w:t>Electronic Data Storage Guidelines</w:t>
            </w:r>
          </w:p>
        </w:tc>
      </w:tr>
      <w:tr w:rsidR="00E35043" w:rsidTr="003C2DB7" w14:paraId="23476D2E" w14:textId="77777777">
        <w:trPr>
          <w:trHeight w:val="1833"/>
        </w:trPr>
        <w:tc>
          <w:tcPr>
            <w:tcW w:w="9016" w:type="dxa"/>
            <w:shd w:val="clear" w:color="auto" w:fill="CCECFF"/>
          </w:tcPr>
          <w:p w:rsidRPr="002F3195" w:rsidR="004F143D" w:rsidP="00D947D2" w:rsidRDefault="006623C9" w14:paraId="59B40158" w14:textId="289EBAC8">
            <w:pPr>
              <w:spacing w:line="240" w:lineRule="auto"/>
              <w:ind w:left="-15"/>
              <w:jc w:val="both"/>
              <w:rPr>
                <w:sz w:val="24"/>
              </w:rPr>
            </w:pPr>
            <w:r>
              <w:rPr>
                <w:sz w:val="24"/>
              </w:rPr>
              <w:t>Detailed g</w:t>
            </w:r>
            <w:r w:rsidRPr="002F3195" w:rsidR="00D947D2">
              <w:rPr>
                <w:sz w:val="24"/>
              </w:rPr>
              <w:t xml:space="preserve">uidance is provided on the SREC form </w:t>
            </w:r>
            <w:r w:rsidRPr="002F3195" w:rsidR="00817FF6">
              <w:rPr>
                <w:sz w:val="24"/>
              </w:rPr>
              <w:t xml:space="preserve">regarding </w:t>
            </w:r>
            <w:r w:rsidRPr="002F3195" w:rsidR="00D947D2">
              <w:rPr>
                <w:sz w:val="24"/>
              </w:rPr>
              <w:t xml:space="preserve">the storage of physical and electronic </w:t>
            </w:r>
            <w:r w:rsidRPr="002F3195" w:rsidR="00817FF6">
              <w:rPr>
                <w:sz w:val="24"/>
              </w:rPr>
              <w:t>d</w:t>
            </w:r>
            <w:r w:rsidRPr="002F3195" w:rsidR="00D947D2">
              <w:rPr>
                <w:sz w:val="24"/>
              </w:rPr>
              <w:t xml:space="preserve">ata to comply with the requirements set out in the </w:t>
            </w:r>
            <w:r>
              <w:rPr>
                <w:sz w:val="24"/>
              </w:rPr>
              <w:t>UCC Code of Research Conduct</w:t>
            </w:r>
            <w:r w:rsidRPr="002F3195" w:rsidR="00F0310E">
              <w:rPr>
                <w:sz w:val="24"/>
              </w:rPr>
              <w:t>.</w:t>
            </w:r>
          </w:p>
          <w:p w:rsidRPr="003C2DB7" w:rsidR="00316FF9" w:rsidP="00F0310E" w:rsidRDefault="00D947D2" w14:paraId="4D21C31F" w14:textId="6B2F1FA1">
            <w:pPr>
              <w:spacing w:line="240" w:lineRule="auto"/>
              <w:ind w:left="-15"/>
              <w:jc w:val="both"/>
              <w:rPr>
                <w:sz w:val="28"/>
              </w:rPr>
            </w:pPr>
            <w:r w:rsidRPr="002F3195">
              <w:rPr>
                <w:sz w:val="24"/>
              </w:rPr>
              <w:t xml:space="preserve">For additional information on data storage see  </w:t>
            </w:r>
            <w:hyperlink w:history="1" r:id="rId21">
              <w:r w:rsidRPr="002F3195">
                <w:rPr>
                  <w:rStyle w:val="Hyperlink"/>
                  <w:b/>
                  <w:bCs/>
                  <w:sz w:val="24"/>
                </w:rPr>
                <w:t>Data Storage &amp; Backup</w:t>
              </w:r>
            </w:hyperlink>
          </w:p>
        </w:tc>
      </w:tr>
    </w:tbl>
    <w:p w:rsidRPr="0045249B" w:rsidR="00667F79" w:rsidP="00DC205E" w:rsidRDefault="004C2551" w14:paraId="1F85BF9D" w14:textId="12716B0D">
      <w:pPr>
        <w:spacing w:line="240" w:lineRule="auto"/>
        <w:contextualSpacing/>
        <w:rPr>
          <w:b/>
        </w:rPr>
      </w:pPr>
      <w:r w:rsidRPr="0045249B">
        <w:rPr>
          <w:b/>
        </w:rPr>
        <w:lastRenderedPageBreak/>
        <w:t>Section 2</w:t>
      </w:r>
      <w:r w:rsidR="0045249B">
        <w:rPr>
          <w:b/>
        </w:rPr>
        <w:t xml:space="preserve"> -</w:t>
      </w:r>
      <w:r w:rsidRPr="0045249B" w:rsidR="00DC205E">
        <w:rPr>
          <w:b/>
        </w:rPr>
        <w:t xml:space="preserve"> </w:t>
      </w:r>
      <w:r w:rsidRPr="0045249B">
        <w:rPr>
          <w:b/>
        </w:rPr>
        <w:t>To assist applicants</w:t>
      </w:r>
      <w:r w:rsidRPr="0045249B" w:rsidR="00B60AAE">
        <w:rPr>
          <w:b/>
        </w:rPr>
        <w:t xml:space="preserve"> in completing other sections of</w:t>
      </w:r>
      <w:r w:rsidRPr="0045249B">
        <w:rPr>
          <w:b/>
        </w:rPr>
        <w:t xml:space="preserve"> the SREC Application form please carefully read the </w:t>
      </w:r>
      <w:r w:rsidRPr="0045249B" w:rsidR="00EB1114">
        <w:rPr>
          <w:b/>
        </w:rPr>
        <w:t xml:space="preserve">following: </w:t>
      </w:r>
    </w:p>
    <w:p w:rsidRPr="0045249B" w:rsidR="004C2551" w:rsidP="00667F79" w:rsidRDefault="004C2551" w14:paraId="6914B88F" w14:textId="77777777">
      <w:pPr>
        <w:spacing w:line="240" w:lineRule="auto"/>
        <w:contextualSpacing/>
        <w:rPr>
          <w:b/>
        </w:rPr>
      </w:pPr>
    </w:p>
    <w:p w:rsidRPr="00E45401" w:rsidR="00E45401" w:rsidP="00AB06C2" w:rsidRDefault="00E45401" w14:paraId="5AF92D93" w14:textId="77777777">
      <w:pPr>
        <w:spacing w:line="240" w:lineRule="auto"/>
      </w:pPr>
      <w:r w:rsidRPr="00E45401">
        <w:rPr>
          <w:b/>
          <w:bCs/>
          <w:lang w:val="en-IE"/>
        </w:rPr>
        <w:t>Children/Young persons</w:t>
      </w:r>
    </w:p>
    <w:p w:rsidR="00E45401" w:rsidP="004C2551" w:rsidRDefault="00E45401" w14:paraId="24564243" w14:textId="77777777">
      <w:pPr>
        <w:spacing w:line="240" w:lineRule="auto"/>
        <w:contextualSpacing/>
      </w:pPr>
      <w:r w:rsidRPr="00E45401">
        <w:rPr>
          <w:lang w:val="en-IE"/>
        </w:rPr>
        <w:t xml:space="preserve">If </w:t>
      </w:r>
      <w:r w:rsidR="00EB1114">
        <w:rPr>
          <w:lang w:val="en-IE"/>
        </w:rPr>
        <w:t>the research</w:t>
      </w:r>
      <w:r w:rsidRPr="00E45401">
        <w:rPr>
          <w:lang w:val="en-IE"/>
        </w:rPr>
        <w:t xml:space="preserve"> participants include children/young persons (under 18 years of age) you </w:t>
      </w:r>
      <w:r w:rsidR="00EB1114">
        <w:rPr>
          <w:lang w:val="en-IE"/>
        </w:rPr>
        <w:t xml:space="preserve">will </w:t>
      </w:r>
      <w:r w:rsidRPr="00E45401">
        <w:rPr>
          <w:lang w:val="en-IE"/>
        </w:rPr>
        <w:t>need to ensure that your research is in compliance with the UCC Child Sa</w:t>
      </w:r>
      <w:r w:rsidR="00E30B10">
        <w:rPr>
          <w:lang w:val="en-IE"/>
        </w:rPr>
        <w:t xml:space="preserve">feguarding </w:t>
      </w:r>
      <w:r w:rsidR="009062E8">
        <w:rPr>
          <w:lang w:val="en-IE"/>
        </w:rPr>
        <w:t>Statement, which</w:t>
      </w:r>
      <w:r w:rsidR="00E30B10">
        <w:rPr>
          <w:lang w:val="en-IE"/>
        </w:rPr>
        <w:t xml:space="preserve"> sets </w:t>
      </w:r>
      <w:r w:rsidRPr="00E45401">
        <w:rPr>
          <w:lang w:val="en-IE"/>
        </w:rPr>
        <w:t xml:space="preserve">out the legal requirements under the Children First Act 2015; </w:t>
      </w:r>
      <w:r w:rsidR="00E30B10">
        <w:rPr>
          <w:lang w:val="en-IE"/>
        </w:rPr>
        <w:t xml:space="preserve">Link here: </w:t>
      </w:r>
      <w:hyperlink w:tgtFrame="_blank" w:history="1" r:id="rId22">
        <w:r w:rsidR="00DC205E">
          <w:rPr>
            <w:rStyle w:val="Hyperlink"/>
            <w:lang w:val="en-IE"/>
          </w:rPr>
          <w:t>UCC Child Protection Policy</w:t>
        </w:r>
      </w:hyperlink>
    </w:p>
    <w:p w:rsidRPr="00E45401" w:rsidR="00667F79" w:rsidP="00667F79" w:rsidRDefault="00667F79" w14:paraId="1C38C05C" w14:textId="77777777">
      <w:pPr>
        <w:spacing w:line="240" w:lineRule="auto"/>
        <w:contextualSpacing/>
      </w:pPr>
    </w:p>
    <w:p w:rsidRPr="00AB06C2" w:rsidR="00E45401" w:rsidP="00667F79" w:rsidRDefault="00E45401" w14:paraId="48384FDB" w14:textId="77777777">
      <w:pPr>
        <w:spacing w:line="240" w:lineRule="auto"/>
        <w:rPr>
          <w:b/>
          <w:bCs/>
          <w:lang w:val="en-IE"/>
        </w:rPr>
      </w:pPr>
      <w:r w:rsidRPr="00E45401">
        <w:rPr>
          <w:b/>
          <w:bCs/>
          <w:lang w:val="en-IE"/>
        </w:rPr>
        <w:t>Garda Vetting</w:t>
      </w:r>
    </w:p>
    <w:p w:rsidRPr="00E45401" w:rsidR="00E45401" w:rsidP="00667F79" w:rsidRDefault="00E45401" w14:paraId="335C5482" w14:textId="77777777">
      <w:pPr>
        <w:spacing w:line="240" w:lineRule="auto"/>
        <w:contextualSpacing/>
      </w:pPr>
      <w:r w:rsidRPr="00E45401">
        <w:rPr>
          <w:lang w:val="en-IE"/>
        </w:rPr>
        <w:t>Garda vetting is required for researchers carrying out certain kinds of designated research:</w:t>
      </w:r>
    </w:p>
    <w:p w:rsidRPr="00E45401" w:rsidR="00E45401" w:rsidP="00667F79" w:rsidRDefault="00E45401" w14:paraId="7822D1CB" w14:textId="77777777">
      <w:pPr>
        <w:spacing w:line="240" w:lineRule="auto"/>
        <w:contextualSpacing/>
      </w:pPr>
      <w:r w:rsidRPr="00E45401">
        <w:rPr>
          <w:lang w:val="en-IE"/>
        </w:rPr>
        <w:t xml:space="preserve">If research </w:t>
      </w:r>
      <w:r w:rsidR="00EB1114">
        <w:rPr>
          <w:lang w:val="en-IE"/>
        </w:rPr>
        <w:t>engages</w:t>
      </w:r>
      <w:r w:rsidRPr="00E45401">
        <w:rPr>
          <w:lang w:val="en-IE"/>
        </w:rPr>
        <w:t xml:space="preserve"> children under 18 years of age and in order to comply with the Children First Act 2015 </w:t>
      </w:r>
      <w:hyperlink w:tgtFrame="_blank" w:history="1" r:id="rId23">
        <w:r w:rsidRPr="00E45401">
          <w:rPr>
            <w:rStyle w:val="Hyperlink"/>
            <w:lang w:val="en-IE"/>
          </w:rPr>
          <w:t>http://www.irishstatutebook.ie/eli/2015/act/36/enacted/en/pdf</w:t>
        </w:r>
      </w:hyperlink>
      <w:r w:rsidRPr="00E45401">
        <w:rPr>
          <w:lang w:val="en-IE"/>
        </w:rPr>
        <w:t>, please note that UCC is obliged to complete the process of Garda vetting for staff and students.</w:t>
      </w:r>
    </w:p>
    <w:p w:rsidR="00667F79" w:rsidP="00E45401" w:rsidRDefault="00E45401" w14:paraId="6AD75F64" w14:textId="77777777">
      <w:pPr>
        <w:spacing w:line="240" w:lineRule="auto"/>
        <w:contextualSpacing/>
      </w:pPr>
      <w:r w:rsidRPr="00E45401">
        <w:rPr>
          <w:lang w:val="en-IE"/>
        </w:rPr>
        <w:t>Garda Vetting previously obtained from a body other than UCC, does not meet UCC vetting requirements.</w:t>
      </w:r>
    </w:p>
    <w:p w:rsidRPr="00E45401" w:rsidR="00E45401" w:rsidP="00667F79" w:rsidRDefault="00E45401" w14:paraId="637368E6" w14:textId="77777777">
      <w:pPr>
        <w:pStyle w:val="ListParagraph"/>
        <w:numPr>
          <w:ilvl w:val="0"/>
          <w:numId w:val="7"/>
        </w:numPr>
        <w:spacing w:line="240" w:lineRule="auto"/>
      </w:pPr>
      <w:r w:rsidRPr="00667F79">
        <w:rPr>
          <w:lang w:val="en-IE"/>
        </w:rPr>
        <w:t>For academic staff, details on UCC Garda Vetting policy are available at</w:t>
      </w:r>
      <w:r w:rsidR="00667F79">
        <w:rPr>
          <w:lang w:val="en-IE"/>
        </w:rPr>
        <w:t xml:space="preserve"> </w:t>
      </w:r>
      <w:hyperlink w:tgtFrame="_blank" w:history="1" r:id="rId24">
        <w:r w:rsidRPr="00667F79">
          <w:rPr>
            <w:rStyle w:val="Hyperlink"/>
            <w:lang w:val="en-IE"/>
          </w:rPr>
          <w:t>https://www.ucc.ie/en/hr/gardavetting/</w:t>
        </w:r>
      </w:hyperlink>
    </w:p>
    <w:p w:rsidRPr="00E45401" w:rsidR="00E45401" w:rsidP="00667F79" w:rsidRDefault="00E45401" w14:paraId="5D8C3D35" w14:textId="77777777">
      <w:pPr>
        <w:pStyle w:val="ListParagraph"/>
        <w:numPr>
          <w:ilvl w:val="0"/>
          <w:numId w:val="8"/>
        </w:numPr>
        <w:spacing w:line="240" w:lineRule="auto"/>
      </w:pPr>
      <w:r w:rsidRPr="00667F79">
        <w:rPr>
          <w:lang w:val="en-IE"/>
        </w:rPr>
        <w:t>For students (including PhD students), details on UCC Garda Vetting policy are available at:</w:t>
      </w:r>
      <w:r w:rsidR="00667F79">
        <w:rPr>
          <w:lang w:val="en-IE"/>
        </w:rPr>
        <w:t xml:space="preserve"> </w:t>
      </w:r>
      <w:hyperlink w:tgtFrame="_blank" w:history="1" r:id="rId25">
        <w:r w:rsidR="00DC205E">
          <w:rPr>
            <w:rStyle w:val="Hyperlink"/>
            <w:lang w:val="en-IE"/>
          </w:rPr>
          <w:t>UCC Student Vetting Policy and Procedure</w:t>
        </w:r>
      </w:hyperlink>
      <w:r w:rsidRPr="00667F79">
        <w:rPr>
          <w:lang w:val="en-IE"/>
        </w:rPr>
        <w:t>.</w:t>
      </w:r>
    </w:p>
    <w:p w:rsidR="00667F79" w:rsidP="00E45401" w:rsidRDefault="00E45401" w14:paraId="68150B8B" w14:textId="77777777">
      <w:pPr>
        <w:spacing w:line="240" w:lineRule="auto"/>
        <w:rPr>
          <w:lang w:val="en-IE"/>
        </w:rPr>
      </w:pPr>
      <w:r w:rsidRPr="00E45401">
        <w:rPr>
          <w:lang w:val="en-IE"/>
        </w:rPr>
        <w:t>Students for whom Garda vetting is required should contact </w:t>
      </w:r>
      <w:hyperlink w:tgtFrame="_blank" w:history="1" r:id="rId26">
        <w:r w:rsidRPr="00E45401">
          <w:rPr>
            <w:rStyle w:val="Hyperlink"/>
            <w:lang w:val="en-IE"/>
          </w:rPr>
          <w:t>studentgardavetting@ucc.ie</w:t>
        </w:r>
      </w:hyperlink>
      <w:r w:rsidR="00667F79">
        <w:t xml:space="preserve"> </w:t>
      </w:r>
      <w:r w:rsidRPr="00E45401">
        <w:rPr>
          <w:lang w:val="en-IE"/>
        </w:rPr>
        <w:t>and the relevant details will be sent to them.</w:t>
      </w:r>
    </w:p>
    <w:p w:rsidRPr="004E0565" w:rsidR="004E0565" w:rsidP="004E0565" w:rsidRDefault="004E0565" w14:paraId="0A68C5EA" w14:textId="77777777">
      <w:pPr>
        <w:spacing w:line="240" w:lineRule="auto"/>
      </w:pPr>
      <w:r w:rsidRPr="004E0565">
        <w:rPr>
          <w:b/>
          <w:bCs/>
          <w:lang w:val="en-IE"/>
        </w:rPr>
        <w:t>GDPR and Data Protection</w:t>
      </w:r>
    </w:p>
    <w:p w:rsidRPr="004E0565" w:rsidR="004E0565" w:rsidP="00E45401" w:rsidRDefault="004E0565" w14:paraId="707D637E" w14:textId="1294FCB0">
      <w:pPr>
        <w:spacing w:line="240" w:lineRule="auto"/>
        <w:rPr>
          <w:lang w:val="en-IE"/>
        </w:rPr>
      </w:pPr>
      <w:r w:rsidRPr="004E0565">
        <w:rPr>
          <w:lang w:val="en-IE"/>
        </w:rPr>
        <w:t xml:space="preserve">In addition to the data protection questions on the SREC form, you will need to consider if you will need to submit a Data Protection Impact Assessment (DPIA). See the </w:t>
      </w:r>
      <w:hyperlink w:tgtFrame="_blank" w:history="1" r:id="rId27">
        <w:r w:rsidRPr="004E0565">
          <w:rPr>
            <w:rStyle w:val="Hyperlink"/>
            <w:lang w:val="en-IE"/>
          </w:rPr>
          <w:t>UCC GDPR</w:t>
        </w:r>
      </w:hyperlink>
      <w:r w:rsidRPr="004E0565">
        <w:t xml:space="preserve"> </w:t>
      </w:r>
      <w:r w:rsidRPr="004E0565">
        <w:rPr>
          <w:lang w:val="en-IE"/>
        </w:rPr>
        <w:t>page for more information.</w:t>
      </w:r>
      <w:r w:rsidR="006623C9">
        <w:t xml:space="preserve"> Also see UCC’s </w:t>
      </w:r>
      <w:r w:rsidR="000C4A4C">
        <w:rPr>
          <w:rStyle w:val="Hyperlink"/>
        </w:rPr>
        <w:t xml:space="preserve"> </w:t>
      </w:r>
      <w:hyperlink w:history="1" r:id="rId28">
        <w:r w:rsidRPr="000C4A4C" w:rsidR="000C4A4C">
          <w:rPr>
            <w:rStyle w:val="Hyperlink"/>
          </w:rPr>
          <w:t>DPIA Procedure</w:t>
        </w:r>
      </w:hyperlink>
      <w:r w:rsidR="000C4A4C">
        <w:rPr>
          <w:rStyle w:val="Hyperlink"/>
        </w:rPr>
        <w:t xml:space="preserve"> </w:t>
      </w:r>
      <w:r w:rsidRPr="004E0565">
        <w:t xml:space="preserve">. The first part of the procedure is a checklist to determine whether a DPIA is necessary. </w:t>
      </w:r>
    </w:p>
    <w:p w:rsidRPr="00AB06C2" w:rsidR="009B4A7E" w:rsidP="00AB06C2" w:rsidRDefault="00667F79" w14:paraId="155ECF8A" w14:textId="77777777">
      <w:pPr>
        <w:spacing w:line="240" w:lineRule="auto"/>
        <w:rPr>
          <w:b/>
          <w:bCs/>
          <w:lang w:val="en-IE"/>
        </w:rPr>
      </w:pPr>
      <w:r w:rsidRPr="00AB06C2">
        <w:rPr>
          <w:b/>
          <w:bCs/>
          <w:lang w:val="en-IE"/>
        </w:rPr>
        <w:t>Right to W</w:t>
      </w:r>
      <w:r w:rsidRPr="00AB06C2" w:rsidR="009B4A7E">
        <w:rPr>
          <w:b/>
          <w:bCs/>
          <w:lang w:val="en-IE"/>
        </w:rPr>
        <w:t>ithdraw</w:t>
      </w:r>
    </w:p>
    <w:p w:rsidR="00883FB3" w:rsidP="00883FB3" w:rsidRDefault="009B4A7E" w14:paraId="714C90DC" w14:textId="77777777">
      <w:pPr>
        <w:spacing w:line="240" w:lineRule="auto"/>
        <w:contextualSpacing/>
        <w:jc w:val="both"/>
      </w:pPr>
      <w:r>
        <w:t>The right to withdraw from the study is included in all research studies where consent is obtained. However, it cannot be open-ended; for example, once a paper has been published or a thesis submitted, withdrawal is impossible. Where data have been gathered in a manner allowing them to be linked to a specific participant (e.g. audio-recorded interviews) then one can offer the right to withdraw at any time during the interview and up to a specified time after; where the data have been gathered anonymously (e.g. through online survey) then the withdrawal of consent is only possible up to the point at which the data are submitted.</w:t>
      </w:r>
    </w:p>
    <w:p w:rsidR="0044257C" w:rsidP="00883FB3" w:rsidRDefault="0044257C" w14:paraId="215E3CD0" w14:textId="77777777">
      <w:pPr>
        <w:spacing w:line="240" w:lineRule="auto"/>
        <w:contextualSpacing/>
        <w:jc w:val="both"/>
      </w:pPr>
    </w:p>
    <w:p w:rsidRPr="00883FB3" w:rsidR="009B4A7E" w:rsidP="0044257C" w:rsidRDefault="009B4A7E" w14:paraId="374FB8D3" w14:textId="77777777">
      <w:pPr>
        <w:spacing w:line="240" w:lineRule="auto"/>
        <w:jc w:val="both"/>
      </w:pPr>
      <w:r w:rsidRPr="00AB06C2">
        <w:rPr>
          <w:b/>
          <w:bCs/>
          <w:lang w:val="en-IE"/>
        </w:rPr>
        <w:t>Voluntary consent</w:t>
      </w:r>
    </w:p>
    <w:p w:rsidR="009B4A7E" w:rsidP="004C2551" w:rsidRDefault="009B4A7E" w14:paraId="08725883" w14:textId="77777777">
      <w:pPr>
        <w:spacing w:line="240" w:lineRule="auto"/>
        <w:contextualSpacing/>
        <w:jc w:val="both"/>
      </w:pPr>
      <w:r>
        <w:t>In most of the applications that come to SREC, this is relatively unproblematic. There are specific circumstances, however, where difficulties can arise:</w:t>
      </w:r>
    </w:p>
    <w:p w:rsidR="009B4A7E" w:rsidP="004C2551" w:rsidRDefault="009B4A7E" w14:paraId="25BA559C" w14:textId="77777777">
      <w:pPr>
        <w:spacing w:line="240" w:lineRule="auto"/>
        <w:contextualSpacing/>
        <w:jc w:val="both"/>
      </w:pPr>
      <w:r>
        <w:t>Where the participants are children</w:t>
      </w:r>
      <w:r w:rsidR="00EB1114">
        <w:t xml:space="preserve"> (i.e. under 18 years)</w:t>
      </w:r>
      <w:r>
        <w:t>, it is necessary to obtain consent from the parent or guardian. Th</w:t>
      </w:r>
      <w:r w:rsidR="00EB1114">
        <w:t>e child should also be afforded the opportunity to give their assent to be involved in the research.</w:t>
      </w:r>
      <w:r>
        <w:t xml:space="preserve"> </w:t>
      </w:r>
    </w:p>
    <w:p w:rsidR="009B4A7E" w:rsidP="004C2551" w:rsidRDefault="009B4A7E" w14:paraId="7873081A" w14:textId="77777777">
      <w:pPr>
        <w:spacing w:line="240" w:lineRule="auto"/>
        <w:contextualSpacing/>
        <w:jc w:val="both"/>
      </w:pPr>
    </w:p>
    <w:p w:rsidR="009B4A7E" w:rsidP="004C2551" w:rsidRDefault="009B4A7E" w14:paraId="700AC3C1" w14:textId="77777777">
      <w:pPr>
        <w:spacing w:line="240" w:lineRule="auto"/>
        <w:contextualSpacing/>
        <w:jc w:val="both"/>
      </w:pPr>
      <w:r>
        <w:t xml:space="preserve">Where the participants are children, recruited through schools or other organizations, it is important to take steps to ensure that the consent offered is indeed voluntary. If a teacher, principal, group </w:t>
      </w:r>
      <w:r>
        <w:lastRenderedPageBreak/>
        <w:t xml:space="preserve">leader or other figure of authority appears to be endorsing and encouraging participation in research, this may present a problem. </w:t>
      </w:r>
      <w:r w:rsidR="009062E8">
        <w:t>Therefore,</w:t>
      </w:r>
      <w:r>
        <w:t xml:space="preserve"> we suggest that, while such figures may facilitate contact with potential participants, they should play no more active role in the recruitment</w:t>
      </w:r>
      <w:r w:rsidR="009062E8">
        <w:t xml:space="preserve"> process.</w:t>
      </w:r>
    </w:p>
    <w:p w:rsidR="009B4A7E" w:rsidP="004C2551" w:rsidRDefault="009B4A7E" w14:paraId="6804BC1F" w14:textId="77777777">
      <w:pPr>
        <w:spacing w:line="240" w:lineRule="auto"/>
        <w:contextualSpacing/>
        <w:jc w:val="both"/>
      </w:pPr>
    </w:p>
    <w:p w:rsidR="00DC205E" w:rsidP="00DC205E" w:rsidRDefault="009B4A7E" w14:paraId="18B1D897" w14:textId="77777777">
      <w:pPr>
        <w:spacing w:line="240" w:lineRule="auto"/>
        <w:contextualSpacing/>
        <w:jc w:val="both"/>
      </w:pPr>
      <w:r>
        <w:t xml:space="preserve">Where participants are residents of institutions, whether prisons, care homes </w:t>
      </w:r>
      <w:r w:rsidR="009062E8">
        <w:t>etc.</w:t>
      </w:r>
      <w:r>
        <w:t xml:space="preserve">, the same difficulty may arise. If prison </w:t>
      </w:r>
      <w:r w:rsidR="00C9669E">
        <w:t>officers</w:t>
      </w:r>
      <w:r>
        <w:t>, for example, appear to be promoting the project, there must be a question over whether the consent gained is indeed voluntary.</w:t>
      </w:r>
    </w:p>
    <w:p w:rsidR="004E0565" w:rsidP="00DC205E" w:rsidRDefault="004E0565" w14:paraId="79CEDED6" w14:textId="77777777">
      <w:pPr>
        <w:spacing w:line="240" w:lineRule="auto"/>
        <w:contextualSpacing/>
        <w:jc w:val="both"/>
      </w:pPr>
    </w:p>
    <w:p w:rsidRPr="00DC205E" w:rsidR="009B4A7E" w:rsidP="00DC205E" w:rsidRDefault="009B4A7E" w14:paraId="1047AA9C" w14:textId="77777777">
      <w:pPr>
        <w:spacing w:line="240" w:lineRule="auto"/>
        <w:jc w:val="both"/>
      </w:pPr>
      <w:r w:rsidRPr="00AB06C2">
        <w:rPr>
          <w:b/>
          <w:bCs/>
          <w:lang w:val="en-IE"/>
        </w:rPr>
        <w:t>Research questions</w:t>
      </w:r>
    </w:p>
    <w:p w:rsidR="009B4A7E" w:rsidP="004C2551" w:rsidRDefault="009B4A7E" w14:paraId="2868E7AF" w14:textId="77777777">
      <w:pPr>
        <w:spacing w:line="240" w:lineRule="auto"/>
        <w:contextualSpacing/>
        <w:jc w:val="both"/>
      </w:pPr>
      <w:r>
        <w:t>To make sense of your data collection and sample selection strategy, it is necessary to include the research questions for the study as part of your application.</w:t>
      </w:r>
    </w:p>
    <w:p w:rsidR="009B4A7E" w:rsidP="004C2551" w:rsidRDefault="009B4A7E" w14:paraId="5B8CE337" w14:textId="77777777">
      <w:pPr>
        <w:spacing w:line="240" w:lineRule="auto"/>
        <w:contextualSpacing/>
        <w:jc w:val="both"/>
      </w:pPr>
    </w:p>
    <w:p w:rsidRPr="00AB06C2" w:rsidR="009B4A7E" w:rsidP="00AB06C2" w:rsidRDefault="009B4A7E" w14:paraId="46F58920" w14:textId="77777777">
      <w:pPr>
        <w:spacing w:line="240" w:lineRule="auto"/>
        <w:rPr>
          <w:b/>
          <w:bCs/>
          <w:lang w:val="en-IE"/>
        </w:rPr>
      </w:pPr>
      <w:r w:rsidRPr="00AB06C2">
        <w:rPr>
          <w:b/>
          <w:bCs/>
          <w:lang w:val="en-IE"/>
        </w:rPr>
        <w:t>Confidentiality &amp; anonymity</w:t>
      </w:r>
    </w:p>
    <w:p w:rsidR="009B4A7E" w:rsidP="004C2551" w:rsidRDefault="009B4A7E" w14:paraId="549A69CA" w14:textId="77777777">
      <w:pPr>
        <w:spacing w:line="240" w:lineRule="auto"/>
        <w:contextualSpacing/>
        <w:jc w:val="both"/>
      </w:pPr>
      <w:r>
        <w:t>We must always offer these promises from ourselves, but there are limits to these. Specifically, there are limits in law such as the need to protect individuals from harm. Where a risk assessment identifies potential for such an issue to arise, the applicant must outline proposed procedures.</w:t>
      </w:r>
    </w:p>
    <w:p w:rsidR="009B4A7E" w:rsidP="004C2551" w:rsidRDefault="009B4A7E" w14:paraId="42D94A11" w14:textId="77777777">
      <w:pPr>
        <w:spacing w:line="240" w:lineRule="auto"/>
        <w:contextualSpacing/>
        <w:jc w:val="both"/>
      </w:pPr>
      <w:r>
        <w:t>Where data are gathered in a group format, such as a focus group, there must also be concerns about confidentiality. Again, we can offer confidentiality from ourselves, but cannot guarantee it from the other group participants. Under these circumstances, it is advisable to include in the consent form an agreement to maintain confidentiality, and to explain this before the group commences</w:t>
      </w:r>
      <w:r w:rsidR="00C9669E">
        <w:t>.</w:t>
      </w:r>
    </w:p>
    <w:p w:rsidR="00FD7234" w:rsidP="004C2551" w:rsidRDefault="00FD7234" w14:paraId="24FB464B" w14:textId="77777777">
      <w:pPr>
        <w:spacing w:line="240" w:lineRule="auto"/>
        <w:contextualSpacing/>
        <w:jc w:val="both"/>
      </w:pPr>
    </w:p>
    <w:p w:rsidRPr="00AB06C2" w:rsidR="00FD7234" w:rsidP="00AB06C2" w:rsidRDefault="00FD7234" w14:paraId="56C47619" w14:textId="77777777">
      <w:pPr>
        <w:spacing w:line="240" w:lineRule="auto"/>
        <w:rPr>
          <w:b/>
          <w:bCs/>
          <w:lang w:val="en-IE"/>
        </w:rPr>
      </w:pPr>
      <w:r w:rsidRPr="00AB06C2">
        <w:rPr>
          <w:b/>
          <w:bCs/>
          <w:lang w:val="en-IE"/>
        </w:rPr>
        <w:t>Recruitment</w:t>
      </w:r>
    </w:p>
    <w:p w:rsidRPr="00191DCB" w:rsidR="00DC205E" w:rsidP="009A0CA3" w:rsidRDefault="00CB2756" w14:paraId="49F38887" w14:textId="77777777">
      <w:pPr>
        <w:spacing w:line="240" w:lineRule="auto"/>
        <w:jc w:val="both"/>
        <w:rPr>
          <w:b/>
        </w:rPr>
      </w:pPr>
      <w:r w:rsidRPr="00544E2F">
        <w:t xml:space="preserve">Recruitment should be undertaken ethically. </w:t>
      </w:r>
      <w:r>
        <w:t>If organisations or persons facilitate recruitment of research participants,</w:t>
      </w:r>
      <w:r w:rsidR="009C699B">
        <w:t xml:space="preserve"> the nature of their facilitation needs to be detailed and</w:t>
      </w:r>
      <w:r>
        <w:t xml:space="preserve"> as researchers</w:t>
      </w:r>
      <w:r w:rsidR="00FC16B4">
        <w:t>,</w:t>
      </w:r>
      <w:r>
        <w:t xml:space="preserve"> we still need to take responsibility </w:t>
      </w:r>
      <w:r w:rsidRPr="002441C9">
        <w:t xml:space="preserve">for all aspects of the recruitment process and ensure it is done ethically.   </w:t>
      </w:r>
      <w:r w:rsidRPr="002441C9" w:rsidR="00F11286">
        <w:t>H</w:t>
      </w:r>
      <w:r w:rsidRPr="002441C9" w:rsidR="00191DCB">
        <w:rPr>
          <w:rFonts w:ascii="Calibri" w:hAnsi="Calibri" w:cs="Calibri"/>
          <w:lang w:val="en-IE"/>
        </w:rPr>
        <w:t>ow</w:t>
      </w:r>
      <w:r w:rsidRPr="002441C9" w:rsidR="00F11286">
        <w:rPr>
          <w:rFonts w:ascii="Calibri" w:hAnsi="Calibri" w:cs="Calibri"/>
          <w:lang w:val="en-IE"/>
        </w:rPr>
        <w:t xml:space="preserve"> potential participants will be identified and invited to take part in the study needs to be detailed in the application. </w:t>
      </w:r>
      <w:r w:rsidRPr="002441C9" w:rsidR="00B24B5C">
        <w:rPr>
          <w:rFonts w:ascii="Calibri" w:hAnsi="Calibri" w:cs="Calibri"/>
          <w:lang w:val="en-IE"/>
        </w:rPr>
        <w:t>R</w:t>
      </w:r>
      <w:r w:rsidRPr="002441C9" w:rsidR="00F11286">
        <w:rPr>
          <w:rFonts w:ascii="Calibri" w:hAnsi="Calibri" w:cs="Calibri"/>
          <w:lang w:val="en-IE"/>
        </w:rPr>
        <w:t xml:space="preserve">ecruitment plans </w:t>
      </w:r>
      <w:r w:rsidRPr="002441C9" w:rsidR="00B24B5C">
        <w:rPr>
          <w:rFonts w:ascii="Calibri" w:hAnsi="Calibri" w:cs="Calibri"/>
          <w:lang w:val="en-IE"/>
        </w:rPr>
        <w:t>need</w:t>
      </w:r>
      <w:r w:rsidRPr="002441C9" w:rsidR="00F11286">
        <w:rPr>
          <w:rFonts w:ascii="Calibri" w:hAnsi="Calibri" w:cs="Calibri"/>
          <w:lang w:val="en-IE"/>
        </w:rPr>
        <w:t xml:space="preserve"> </w:t>
      </w:r>
      <w:r w:rsidR="009062E8">
        <w:rPr>
          <w:rFonts w:ascii="Calibri" w:hAnsi="Calibri" w:cs="Calibri"/>
          <w:lang w:val="en-IE"/>
        </w:rPr>
        <w:t xml:space="preserve">to </w:t>
      </w:r>
      <w:r w:rsidRPr="002441C9" w:rsidR="00F11286">
        <w:rPr>
          <w:rFonts w:ascii="Calibri" w:hAnsi="Calibri" w:cs="Calibri"/>
          <w:lang w:val="en-IE"/>
        </w:rPr>
        <w:t>be fully understood</w:t>
      </w:r>
      <w:r w:rsidRPr="002441C9" w:rsidR="00B24B5C">
        <w:rPr>
          <w:rFonts w:ascii="Calibri" w:hAnsi="Calibri" w:cs="Calibri"/>
          <w:lang w:val="en-IE"/>
        </w:rPr>
        <w:t xml:space="preserve"> </w:t>
      </w:r>
      <w:r w:rsidRPr="002441C9" w:rsidR="00FC16B4">
        <w:rPr>
          <w:rFonts w:ascii="Calibri" w:hAnsi="Calibri" w:cs="Calibri"/>
          <w:lang w:val="en-IE"/>
        </w:rPr>
        <w:t xml:space="preserve">by reviewers </w:t>
      </w:r>
      <w:r w:rsidRPr="002441C9" w:rsidR="009C699B">
        <w:rPr>
          <w:rFonts w:ascii="Calibri" w:hAnsi="Calibri" w:cs="Calibri"/>
          <w:lang w:val="en-IE"/>
        </w:rPr>
        <w:t>and recruitment materials made available for review purposes</w:t>
      </w:r>
      <w:r w:rsidRPr="002441C9" w:rsidR="00F11286">
        <w:rPr>
          <w:rFonts w:ascii="Calibri" w:hAnsi="Calibri" w:cs="Calibri"/>
          <w:lang w:val="en-IE"/>
        </w:rPr>
        <w:t xml:space="preserve">. Recruitment processes and materials vary and include formal letters, posting flyers, sending emails, announcements in classes or other settings, postings to online bulletin boards or social media sites, or informal personal conversations.  </w:t>
      </w:r>
    </w:p>
    <w:p w:rsidRPr="009A0CA3" w:rsidR="009A0CA3" w:rsidP="009A0CA3" w:rsidRDefault="009A0CA3" w14:paraId="1EC98F04" w14:textId="77777777">
      <w:pPr>
        <w:spacing w:line="240" w:lineRule="auto"/>
        <w:jc w:val="both"/>
      </w:pPr>
      <w:r w:rsidRPr="009A0CA3">
        <w:rPr>
          <w:b/>
          <w:lang w:val="en-IE"/>
        </w:rPr>
        <w:t>Guidance for Conducting Internet Research</w:t>
      </w:r>
    </w:p>
    <w:p w:rsidRPr="009A0CA3" w:rsidR="009A0CA3" w:rsidP="009A0CA3" w:rsidRDefault="009A0CA3" w14:paraId="35805C7A" w14:textId="77777777">
      <w:pPr>
        <w:spacing w:line="240" w:lineRule="auto"/>
        <w:contextualSpacing/>
        <w:jc w:val="both"/>
      </w:pPr>
      <w:r w:rsidRPr="009A0CA3">
        <w:t xml:space="preserve">Online platforms and online communities are widely used by researchers as rich sources of research data. Given the increasing value of </w:t>
      </w:r>
      <w:r w:rsidRPr="009A0CA3" w:rsidR="009062E8">
        <w:t>user-generated</w:t>
      </w:r>
      <w:r w:rsidRPr="009A0CA3">
        <w:t xml:space="preserve"> data available on internet-based communities, researchers must </w:t>
      </w:r>
      <w:r w:rsidRPr="009A0CA3" w:rsidR="00817FF6">
        <w:t>consider</w:t>
      </w:r>
      <w:r w:rsidRPr="009A0CA3">
        <w:t xml:space="preserve"> the potential ethical and legal challenges that may arise as a result of collecting and using data available online. This </w:t>
      </w:r>
      <w:hyperlink w:history="1" r:id="rId29">
        <w:r w:rsidRPr="000F353C" w:rsidR="000F353C">
          <w:rPr>
            <w:rStyle w:val="Hyperlink"/>
          </w:rPr>
          <w:t>Guidance Document for Conducting Research on Online Platforms</w:t>
        </w:r>
      </w:hyperlink>
      <w:r w:rsidRPr="000F353C" w:rsidR="000F353C">
        <w:t xml:space="preserve"> </w:t>
      </w:r>
      <w:r w:rsidRPr="009A0CA3">
        <w:t>is for UCC researchers</w:t>
      </w:r>
      <w:r w:rsidR="000F353C">
        <w:t xml:space="preserve"> conducting internet research.</w:t>
      </w:r>
    </w:p>
    <w:p w:rsidRPr="009A0CA3" w:rsidR="009A0CA3" w:rsidP="009A0CA3" w:rsidRDefault="009A0CA3" w14:paraId="18688DDD" w14:textId="77777777">
      <w:pPr>
        <w:spacing w:line="240" w:lineRule="auto"/>
        <w:contextualSpacing/>
        <w:jc w:val="both"/>
      </w:pPr>
    </w:p>
    <w:p w:rsidRPr="009A0CA3" w:rsidR="009A0CA3" w:rsidP="009A0CA3" w:rsidRDefault="009A0CA3" w14:paraId="7E170D15" w14:textId="77777777">
      <w:pPr>
        <w:spacing w:line="240" w:lineRule="auto"/>
        <w:jc w:val="both"/>
        <w:rPr>
          <w:b/>
          <w:lang w:val="en-IE"/>
        </w:rPr>
      </w:pPr>
      <w:r w:rsidRPr="009A0CA3">
        <w:rPr>
          <w:b/>
          <w:lang w:val="en-IE"/>
        </w:rPr>
        <w:t>Guidance for Researchers conducting Research with Vulnerable People</w:t>
      </w:r>
    </w:p>
    <w:p w:rsidRPr="009A0CA3" w:rsidR="009A0CA3" w:rsidP="009A0CA3" w:rsidRDefault="009A0CA3" w14:paraId="555DC880" w14:textId="77777777">
      <w:pPr>
        <w:spacing w:line="240" w:lineRule="auto"/>
        <w:contextualSpacing/>
        <w:jc w:val="both"/>
        <w:rPr>
          <w:lang w:val="en-IE"/>
        </w:rPr>
      </w:pPr>
      <w:r w:rsidRPr="009A0CA3">
        <w:rPr>
          <w:lang w:val="en-IE"/>
        </w:rPr>
        <w:t>This Guidance is for researchers engaged in research involving participants who are or may be vulnerable. It sets out the issues which REC reviewers consider important in reviewing applications for research ethics approval.  The Guidance recognises that research with vulnerable research participants can make an important contribution to improving the lives of vulnerable people.  For this reason, vulnerable persons should not be excluded from research because of the challenges involved</w:t>
      </w:r>
      <w:r w:rsidRPr="00C34B40">
        <w:rPr>
          <w:b/>
          <w:lang w:val="en-IE"/>
        </w:rPr>
        <w:t>, rather researchers are encouraged to develop the ethical practices required to include such persons in their research projects.</w:t>
      </w:r>
      <w:r w:rsidRPr="009A0CA3">
        <w:rPr>
          <w:lang w:val="en-IE"/>
        </w:rPr>
        <w:t xml:space="preserve"> However, it also reflects the concerns which arise in carrying out research with vulnerable participants and the importance of appropriate and proportionate safeguards in this context. </w:t>
      </w:r>
      <w:r w:rsidR="0005799B">
        <w:rPr>
          <w:lang w:val="en-IE"/>
        </w:rPr>
        <w:t xml:space="preserve">Link here </w:t>
      </w:r>
      <w:hyperlink w:history="1" r:id="rId30">
        <w:r w:rsidRPr="0005799B" w:rsidR="0005799B">
          <w:rPr>
            <w:rStyle w:val="Hyperlink"/>
            <w:lang w:val="en-IE"/>
          </w:rPr>
          <w:t>Vulnerability Guidance Document</w:t>
        </w:r>
      </w:hyperlink>
    </w:p>
    <w:sectPr w:rsidRPr="009A0CA3" w:rsidR="009A0CA3" w:rsidSect="009B4A7E">
      <w:headerReference w:type="default" r:id="rId31"/>
      <w:footerReference w:type="default" r:id="rId32"/>
      <w:headerReference w:type="first" r:id="rId33"/>
      <w:footerReference w:type="first" r:id="rId34"/>
      <w:pgSz w:w="11906" w:h="16838" w:orient="portrait"/>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HL" w:author="Hales, Liz" w:date="2021-05-06T10:13:00Z" w:id="0">
    <w:p w:rsidR="00962F49" w:rsidRDefault="00962F49" w14:paraId="721254DE" w14:textId="77777777">
      <w:pPr>
        <w:pStyle w:val="CommentText"/>
      </w:pPr>
      <w:r>
        <w:rPr>
          <w:rStyle w:val="CommentReference"/>
        </w:rPr>
        <w:annotationRef/>
      </w:r>
      <w:r>
        <w:t xml:space="preserve">I updated this link as per Lana </w:t>
      </w:r>
      <w:proofErr w:type="spellStart"/>
      <w:r>
        <w:t>Repar’s</w:t>
      </w:r>
      <w:proofErr w:type="spellEnd"/>
      <w:r>
        <w:t xml:space="preserve">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1254D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254DE" w16cid:durableId="268E4F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5EB6" w:rsidP="009B4A7E" w:rsidRDefault="00FD5EB6" w14:paraId="4696A955" w14:textId="77777777">
      <w:pPr>
        <w:spacing w:after="0" w:line="240" w:lineRule="auto"/>
      </w:pPr>
      <w:r>
        <w:separator/>
      </w:r>
    </w:p>
  </w:endnote>
  <w:endnote w:type="continuationSeparator" w:id="0">
    <w:p w:rsidR="00FD5EB6" w:rsidP="009B4A7E" w:rsidRDefault="00FD5EB6" w14:paraId="7FF25A8D" w14:textId="77777777">
      <w:pPr>
        <w:spacing w:after="0" w:line="240" w:lineRule="auto"/>
      </w:pPr>
      <w:r>
        <w:continuationSeparator/>
      </w:r>
    </w:p>
  </w:endnote>
  <w:endnote w:type="continuationNotice" w:id="1">
    <w:p w:rsidR="00FD5EB6" w:rsidRDefault="00FD5EB6" w14:paraId="109C5D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432861"/>
      <w:docPartObj>
        <w:docPartGallery w:val="Page Numbers (Bottom of Page)"/>
        <w:docPartUnique/>
      </w:docPartObj>
    </w:sdtPr>
    <w:sdtEndPr>
      <w:rPr>
        <w:noProof/>
      </w:rPr>
    </w:sdtEndPr>
    <w:sdtContent>
      <w:p w:rsidR="00883FB3" w:rsidRDefault="00883FB3" w14:paraId="792FCD52" w14:textId="34E6DDC0">
        <w:pPr>
          <w:pStyle w:val="Footer"/>
          <w:jc w:val="right"/>
        </w:pPr>
        <w:r>
          <w:fldChar w:fldCharType="begin"/>
        </w:r>
        <w:r>
          <w:instrText xml:space="preserve"> PAGE   \* MERGEFORMAT </w:instrText>
        </w:r>
        <w:r>
          <w:fldChar w:fldCharType="separate"/>
        </w:r>
        <w:r w:rsidR="00F900C8">
          <w:rPr>
            <w:noProof/>
          </w:rPr>
          <w:t>4</w:t>
        </w:r>
        <w:r>
          <w:rPr>
            <w:noProof/>
          </w:rPr>
          <w:fldChar w:fldCharType="end"/>
        </w:r>
      </w:p>
    </w:sdtContent>
  </w:sdt>
  <w:p w:rsidR="006623C9" w:rsidP="006623C9" w:rsidRDefault="006623C9" w14:paraId="2616EDA2" w14:textId="0C09E0D4">
    <w:pPr>
      <w:pStyle w:val="Footer"/>
    </w:pPr>
    <w:r w:rsidR="0AD1732C">
      <w:rPr/>
      <w:t>V</w:t>
    </w:r>
    <w:r w:rsidR="0AD1732C">
      <w:rPr/>
      <w:t>3</w:t>
    </w:r>
    <w:r w:rsidR="0AD1732C">
      <w:rPr/>
      <w:t xml:space="preserve"> </w:t>
    </w:r>
    <w:r w:rsidR="0AD1732C">
      <w:rPr/>
      <w:t xml:space="preserve">July </w:t>
    </w:r>
    <w:r w:rsidR="0AD1732C">
      <w:rPr/>
      <w:t>202</w:t>
    </w:r>
    <w:r w:rsidR="0AD1732C">
      <w:rPr/>
      <w:t>2</w:t>
    </w:r>
  </w:p>
  <w:p w:rsidR="00883FB3" w:rsidRDefault="00883FB3" w14:paraId="39E4CA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23C9" w:rsidRDefault="006623C9" w14:paraId="158BA180" w14:textId="1B081328">
    <w:pPr>
      <w:pStyle w:val="Footer"/>
    </w:pPr>
    <w:r>
      <w:t>V2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5EB6" w:rsidP="009B4A7E" w:rsidRDefault="00FD5EB6" w14:paraId="5B34ACCB" w14:textId="77777777">
      <w:pPr>
        <w:spacing w:after="0" w:line="240" w:lineRule="auto"/>
      </w:pPr>
      <w:r>
        <w:separator/>
      </w:r>
    </w:p>
  </w:footnote>
  <w:footnote w:type="continuationSeparator" w:id="0">
    <w:p w:rsidR="00FD5EB6" w:rsidP="009B4A7E" w:rsidRDefault="00FD5EB6" w14:paraId="39060DF3" w14:textId="77777777">
      <w:pPr>
        <w:spacing w:after="0" w:line="240" w:lineRule="auto"/>
      </w:pPr>
      <w:r>
        <w:continuationSeparator/>
      </w:r>
    </w:p>
  </w:footnote>
  <w:footnote w:type="continuationNotice" w:id="1">
    <w:p w:rsidR="00FD5EB6" w:rsidRDefault="00FD5EB6" w14:paraId="3C319C0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74AF93D" w:rsidTr="074AF93D" w14:paraId="3F2F2CFE" w14:textId="77777777">
      <w:tc>
        <w:tcPr>
          <w:tcW w:w="3005" w:type="dxa"/>
        </w:tcPr>
        <w:p w:rsidR="074AF93D" w:rsidP="074AF93D" w:rsidRDefault="074AF93D" w14:paraId="60CD9CD3" w14:textId="025C23BC">
          <w:pPr>
            <w:pStyle w:val="Header"/>
            <w:ind w:left="-115"/>
          </w:pPr>
        </w:p>
      </w:tc>
      <w:tc>
        <w:tcPr>
          <w:tcW w:w="3005" w:type="dxa"/>
        </w:tcPr>
        <w:p w:rsidR="074AF93D" w:rsidP="074AF93D" w:rsidRDefault="074AF93D" w14:paraId="73839BA2" w14:textId="4A5C7E33">
          <w:pPr>
            <w:pStyle w:val="Header"/>
            <w:jc w:val="center"/>
          </w:pPr>
        </w:p>
      </w:tc>
      <w:tc>
        <w:tcPr>
          <w:tcW w:w="3005" w:type="dxa"/>
        </w:tcPr>
        <w:p w:rsidR="074AF93D" w:rsidP="074AF93D" w:rsidRDefault="074AF93D" w14:paraId="062C3869" w14:textId="75047F16">
          <w:pPr>
            <w:pStyle w:val="Header"/>
            <w:ind w:right="-115"/>
            <w:jc w:val="right"/>
          </w:pPr>
        </w:p>
      </w:tc>
    </w:tr>
  </w:tbl>
  <w:p w:rsidR="074AF93D" w:rsidP="074AF93D" w:rsidRDefault="074AF93D" w14:paraId="58D0BB59" w14:textId="7EB08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B4A7E" w:rsidRDefault="009B4A7E" w14:paraId="5ACA9AD2" w14:textId="77777777">
    <w:pPr>
      <w:pStyle w:val="Header"/>
    </w:pPr>
    <w:r>
      <w:rPr>
        <w:noProof/>
        <w:lang w:val="en-IE" w:eastAsia="en-IE"/>
      </w:rPr>
      <w:drawing>
        <wp:inline distT="0" distB="0" distL="0" distR="0" wp14:anchorId="2DEC7355" wp14:editId="63114344">
          <wp:extent cx="1274445" cy="59118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59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8EB"/>
    <w:multiLevelType w:val="multilevel"/>
    <w:tmpl w:val="CB0C0358"/>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852CEB"/>
    <w:multiLevelType w:val="multilevel"/>
    <w:tmpl w:val="02C6BFD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FA67322"/>
    <w:multiLevelType w:val="hybridMultilevel"/>
    <w:tmpl w:val="CE24F71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96E3942"/>
    <w:multiLevelType w:val="multilevel"/>
    <w:tmpl w:val="A8DA570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F9A1D3F"/>
    <w:multiLevelType w:val="hybridMultilevel"/>
    <w:tmpl w:val="574A3466"/>
    <w:lvl w:ilvl="0" w:tplc="18090001">
      <w:start w:val="1"/>
      <w:numFmt w:val="bullet"/>
      <w:lvlText w:val=""/>
      <w:lvlJc w:val="left"/>
      <w:pPr>
        <w:ind w:left="705" w:hanging="360"/>
      </w:pPr>
      <w:rPr>
        <w:rFonts w:hint="default" w:ascii="Symbol" w:hAnsi="Symbol"/>
      </w:rPr>
    </w:lvl>
    <w:lvl w:ilvl="1" w:tplc="18090003" w:tentative="1">
      <w:start w:val="1"/>
      <w:numFmt w:val="bullet"/>
      <w:lvlText w:val="o"/>
      <w:lvlJc w:val="left"/>
      <w:pPr>
        <w:ind w:left="1425" w:hanging="360"/>
      </w:pPr>
      <w:rPr>
        <w:rFonts w:hint="default" w:ascii="Courier New" w:hAnsi="Courier New" w:cs="Courier New"/>
      </w:rPr>
    </w:lvl>
    <w:lvl w:ilvl="2" w:tplc="18090005" w:tentative="1">
      <w:start w:val="1"/>
      <w:numFmt w:val="bullet"/>
      <w:lvlText w:val=""/>
      <w:lvlJc w:val="left"/>
      <w:pPr>
        <w:ind w:left="2145" w:hanging="360"/>
      </w:pPr>
      <w:rPr>
        <w:rFonts w:hint="default" w:ascii="Wingdings" w:hAnsi="Wingdings"/>
      </w:rPr>
    </w:lvl>
    <w:lvl w:ilvl="3" w:tplc="18090001" w:tentative="1">
      <w:start w:val="1"/>
      <w:numFmt w:val="bullet"/>
      <w:lvlText w:val=""/>
      <w:lvlJc w:val="left"/>
      <w:pPr>
        <w:ind w:left="2865" w:hanging="360"/>
      </w:pPr>
      <w:rPr>
        <w:rFonts w:hint="default" w:ascii="Symbol" w:hAnsi="Symbol"/>
      </w:rPr>
    </w:lvl>
    <w:lvl w:ilvl="4" w:tplc="18090003" w:tentative="1">
      <w:start w:val="1"/>
      <w:numFmt w:val="bullet"/>
      <w:lvlText w:val="o"/>
      <w:lvlJc w:val="left"/>
      <w:pPr>
        <w:ind w:left="3585" w:hanging="360"/>
      </w:pPr>
      <w:rPr>
        <w:rFonts w:hint="default" w:ascii="Courier New" w:hAnsi="Courier New" w:cs="Courier New"/>
      </w:rPr>
    </w:lvl>
    <w:lvl w:ilvl="5" w:tplc="18090005" w:tentative="1">
      <w:start w:val="1"/>
      <w:numFmt w:val="bullet"/>
      <w:lvlText w:val=""/>
      <w:lvlJc w:val="left"/>
      <w:pPr>
        <w:ind w:left="4305" w:hanging="360"/>
      </w:pPr>
      <w:rPr>
        <w:rFonts w:hint="default" w:ascii="Wingdings" w:hAnsi="Wingdings"/>
      </w:rPr>
    </w:lvl>
    <w:lvl w:ilvl="6" w:tplc="18090001" w:tentative="1">
      <w:start w:val="1"/>
      <w:numFmt w:val="bullet"/>
      <w:lvlText w:val=""/>
      <w:lvlJc w:val="left"/>
      <w:pPr>
        <w:ind w:left="5025" w:hanging="360"/>
      </w:pPr>
      <w:rPr>
        <w:rFonts w:hint="default" w:ascii="Symbol" w:hAnsi="Symbol"/>
      </w:rPr>
    </w:lvl>
    <w:lvl w:ilvl="7" w:tplc="18090003" w:tentative="1">
      <w:start w:val="1"/>
      <w:numFmt w:val="bullet"/>
      <w:lvlText w:val="o"/>
      <w:lvlJc w:val="left"/>
      <w:pPr>
        <w:ind w:left="5745" w:hanging="360"/>
      </w:pPr>
      <w:rPr>
        <w:rFonts w:hint="default" w:ascii="Courier New" w:hAnsi="Courier New" w:cs="Courier New"/>
      </w:rPr>
    </w:lvl>
    <w:lvl w:ilvl="8" w:tplc="18090005" w:tentative="1">
      <w:start w:val="1"/>
      <w:numFmt w:val="bullet"/>
      <w:lvlText w:val=""/>
      <w:lvlJc w:val="left"/>
      <w:pPr>
        <w:ind w:left="6465" w:hanging="360"/>
      </w:pPr>
      <w:rPr>
        <w:rFonts w:hint="default" w:ascii="Wingdings" w:hAnsi="Wingdings"/>
      </w:rPr>
    </w:lvl>
  </w:abstractNum>
  <w:abstractNum w:abstractNumId="5" w15:restartNumberingAfterBreak="0">
    <w:nsid w:val="1FB40604"/>
    <w:multiLevelType w:val="hybridMultilevel"/>
    <w:tmpl w:val="26A8522C"/>
    <w:lvl w:ilvl="0" w:tplc="8C8AEDB2">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28BE4BA6"/>
    <w:multiLevelType w:val="multilevel"/>
    <w:tmpl w:val="E1145E0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C836172"/>
    <w:multiLevelType w:val="multilevel"/>
    <w:tmpl w:val="27C8943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13455E6"/>
    <w:multiLevelType w:val="hybridMultilevel"/>
    <w:tmpl w:val="507C2C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2C4235A"/>
    <w:multiLevelType w:val="multilevel"/>
    <w:tmpl w:val="CB0C0358"/>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5C270C0"/>
    <w:multiLevelType w:val="hybridMultilevel"/>
    <w:tmpl w:val="F91A1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3AE03D7"/>
    <w:multiLevelType w:val="multilevel"/>
    <w:tmpl w:val="02C6BFD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4771A06"/>
    <w:multiLevelType w:val="hybridMultilevel"/>
    <w:tmpl w:val="30AEDFC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57383971"/>
    <w:multiLevelType w:val="multilevel"/>
    <w:tmpl w:val="6700D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89A5435"/>
    <w:multiLevelType w:val="hybridMultilevel"/>
    <w:tmpl w:val="99D64EEC"/>
    <w:lvl w:ilvl="0" w:tplc="18090001">
      <w:start w:val="1"/>
      <w:numFmt w:val="bullet"/>
      <w:lvlText w:val=""/>
      <w:lvlJc w:val="left"/>
      <w:pPr>
        <w:ind w:left="705" w:hanging="360"/>
      </w:pPr>
      <w:rPr>
        <w:rFonts w:hint="default" w:ascii="Symbol" w:hAnsi="Symbol"/>
      </w:rPr>
    </w:lvl>
    <w:lvl w:ilvl="1" w:tplc="1D4A03C4">
      <w:numFmt w:val="bullet"/>
      <w:lvlText w:val="•"/>
      <w:lvlJc w:val="left"/>
      <w:pPr>
        <w:ind w:left="1785" w:hanging="720"/>
      </w:pPr>
      <w:rPr>
        <w:rFonts w:hint="default" w:ascii="Calibri" w:hAnsi="Calibri" w:cs="Calibri" w:eastAsiaTheme="minorHAnsi"/>
        <w:b/>
      </w:rPr>
    </w:lvl>
    <w:lvl w:ilvl="2" w:tplc="18090005" w:tentative="1">
      <w:start w:val="1"/>
      <w:numFmt w:val="bullet"/>
      <w:lvlText w:val=""/>
      <w:lvlJc w:val="left"/>
      <w:pPr>
        <w:ind w:left="2145" w:hanging="360"/>
      </w:pPr>
      <w:rPr>
        <w:rFonts w:hint="default" w:ascii="Wingdings" w:hAnsi="Wingdings"/>
      </w:rPr>
    </w:lvl>
    <w:lvl w:ilvl="3" w:tplc="18090001" w:tentative="1">
      <w:start w:val="1"/>
      <w:numFmt w:val="bullet"/>
      <w:lvlText w:val=""/>
      <w:lvlJc w:val="left"/>
      <w:pPr>
        <w:ind w:left="2865" w:hanging="360"/>
      </w:pPr>
      <w:rPr>
        <w:rFonts w:hint="default" w:ascii="Symbol" w:hAnsi="Symbol"/>
      </w:rPr>
    </w:lvl>
    <w:lvl w:ilvl="4" w:tplc="18090003" w:tentative="1">
      <w:start w:val="1"/>
      <w:numFmt w:val="bullet"/>
      <w:lvlText w:val="o"/>
      <w:lvlJc w:val="left"/>
      <w:pPr>
        <w:ind w:left="3585" w:hanging="360"/>
      </w:pPr>
      <w:rPr>
        <w:rFonts w:hint="default" w:ascii="Courier New" w:hAnsi="Courier New" w:cs="Courier New"/>
      </w:rPr>
    </w:lvl>
    <w:lvl w:ilvl="5" w:tplc="18090005" w:tentative="1">
      <w:start w:val="1"/>
      <w:numFmt w:val="bullet"/>
      <w:lvlText w:val=""/>
      <w:lvlJc w:val="left"/>
      <w:pPr>
        <w:ind w:left="4305" w:hanging="360"/>
      </w:pPr>
      <w:rPr>
        <w:rFonts w:hint="default" w:ascii="Wingdings" w:hAnsi="Wingdings"/>
      </w:rPr>
    </w:lvl>
    <w:lvl w:ilvl="6" w:tplc="18090001" w:tentative="1">
      <w:start w:val="1"/>
      <w:numFmt w:val="bullet"/>
      <w:lvlText w:val=""/>
      <w:lvlJc w:val="left"/>
      <w:pPr>
        <w:ind w:left="5025" w:hanging="360"/>
      </w:pPr>
      <w:rPr>
        <w:rFonts w:hint="default" w:ascii="Symbol" w:hAnsi="Symbol"/>
      </w:rPr>
    </w:lvl>
    <w:lvl w:ilvl="7" w:tplc="18090003" w:tentative="1">
      <w:start w:val="1"/>
      <w:numFmt w:val="bullet"/>
      <w:lvlText w:val="o"/>
      <w:lvlJc w:val="left"/>
      <w:pPr>
        <w:ind w:left="5745" w:hanging="360"/>
      </w:pPr>
      <w:rPr>
        <w:rFonts w:hint="default" w:ascii="Courier New" w:hAnsi="Courier New" w:cs="Courier New"/>
      </w:rPr>
    </w:lvl>
    <w:lvl w:ilvl="8" w:tplc="18090005" w:tentative="1">
      <w:start w:val="1"/>
      <w:numFmt w:val="bullet"/>
      <w:lvlText w:val=""/>
      <w:lvlJc w:val="left"/>
      <w:pPr>
        <w:ind w:left="6465" w:hanging="360"/>
      </w:pPr>
      <w:rPr>
        <w:rFonts w:hint="default" w:ascii="Wingdings" w:hAnsi="Wingdings"/>
      </w:rPr>
    </w:lvl>
  </w:abstractNum>
  <w:abstractNum w:abstractNumId="15" w15:restartNumberingAfterBreak="0">
    <w:nsid w:val="5A9018E5"/>
    <w:multiLevelType w:val="multilevel"/>
    <w:tmpl w:val="6700D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4031988"/>
    <w:multiLevelType w:val="hybridMultilevel"/>
    <w:tmpl w:val="8EA61D7E"/>
    <w:lvl w:ilvl="0" w:tplc="8C8AEDB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6CF4D47"/>
    <w:multiLevelType w:val="multilevel"/>
    <w:tmpl w:val="B91850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Courier New"/>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1576742636">
    <w:abstractNumId w:val="7"/>
  </w:num>
  <w:num w:numId="2" w16cid:durableId="1063679748">
    <w:abstractNumId w:val="3"/>
  </w:num>
  <w:num w:numId="3" w16cid:durableId="720176847">
    <w:abstractNumId w:val="1"/>
  </w:num>
  <w:num w:numId="4" w16cid:durableId="1684744596">
    <w:abstractNumId w:val="0"/>
  </w:num>
  <w:num w:numId="5" w16cid:durableId="1399548498">
    <w:abstractNumId w:val="6"/>
  </w:num>
  <w:num w:numId="6" w16cid:durableId="3142618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302092">
    <w:abstractNumId w:val="11"/>
  </w:num>
  <w:num w:numId="8" w16cid:durableId="499392665">
    <w:abstractNumId w:val="10"/>
  </w:num>
  <w:num w:numId="9" w16cid:durableId="1443963956">
    <w:abstractNumId w:val="17"/>
  </w:num>
  <w:num w:numId="10" w16cid:durableId="608123721">
    <w:abstractNumId w:val="12"/>
  </w:num>
  <w:num w:numId="11" w16cid:durableId="538394592">
    <w:abstractNumId w:val="13"/>
  </w:num>
  <w:num w:numId="12" w16cid:durableId="1206016485">
    <w:abstractNumId w:val="2"/>
  </w:num>
  <w:num w:numId="13" w16cid:durableId="2027242421">
    <w:abstractNumId w:val="14"/>
  </w:num>
  <w:num w:numId="14" w16cid:durableId="730734491">
    <w:abstractNumId w:val="4"/>
  </w:num>
  <w:num w:numId="15" w16cid:durableId="732655261">
    <w:abstractNumId w:val="8"/>
  </w:num>
  <w:num w:numId="16" w16cid:durableId="1593472954">
    <w:abstractNumId w:val="16"/>
  </w:num>
  <w:num w:numId="17" w16cid:durableId="2107576940">
    <w:abstractNumId w:val="5"/>
  </w:num>
  <w:num w:numId="18" w16cid:durableId="20935044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es, Liz">
    <w15:presenceInfo w15:providerId="AD" w15:userId="S-1-5-21-366280191-1431725683-3082433272-35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01"/>
    <w:rsid w:val="000052B3"/>
    <w:rsid w:val="00014A49"/>
    <w:rsid w:val="00054E6D"/>
    <w:rsid w:val="0005799B"/>
    <w:rsid w:val="00076C76"/>
    <w:rsid w:val="000C4A4C"/>
    <w:rsid w:val="000D66E9"/>
    <w:rsid w:val="000F353C"/>
    <w:rsid w:val="00114060"/>
    <w:rsid w:val="001367C4"/>
    <w:rsid w:val="00185A81"/>
    <w:rsid w:val="00191DCB"/>
    <w:rsid w:val="001D787C"/>
    <w:rsid w:val="00224E2F"/>
    <w:rsid w:val="002441C9"/>
    <w:rsid w:val="002451C6"/>
    <w:rsid w:val="002949B1"/>
    <w:rsid w:val="002A7180"/>
    <w:rsid w:val="002C77DD"/>
    <w:rsid w:val="002F0544"/>
    <w:rsid w:val="002F3195"/>
    <w:rsid w:val="00316FF9"/>
    <w:rsid w:val="00325924"/>
    <w:rsid w:val="00380AE9"/>
    <w:rsid w:val="003B5F84"/>
    <w:rsid w:val="003B69E7"/>
    <w:rsid w:val="003C2DB7"/>
    <w:rsid w:val="003D3F28"/>
    <w:rsid w:val="003F6B7A"/>
    <w:rsid w:val="0044257C"/>
    <w:rsid w:val="0045249B"/>
    <w:rsid w:val="004B4BAE"/>
    <w:rsid w:val="004C2551"/>
    <w:rsid w:val="004D41CB"/>
    <w:rsid w:val="004D4FEC"/>
    <w:rsid w:val="004E0565"/>
    <w:rsid w:val="004F143D"/>
    <w:rsid w:val="00505F63"/>
    <w:rsid w:val="00507A45"/>
    <w:rsid w:val="00536F13"/>
    <w:rsid w:val="00544E2F"/>
    <w:rsid w:val="0057767A"/>
    <w:rsid w:val="005C42AE"/>
    <w:rsid w:val="006623C9"/>
    <w:rsid w:val="00667F79"/>
    <w:rsid w:val="00681119"/>
    <w:rsid w:val="00696E9D"/>
    <w:rsid w:val="006B1A7F"/>
    <w:rsid w:val="0072422F"/>
    <w:rsid w:val="007C08AD"/>
    <w:rsid w:val="00817FF6"/>
    <w:rsid w:val="00883FB3"/>
    <w:rsid w:val="008F29CC"/>
    <w:rsid w:val="009062E8"/>
    <w:rsid w:val="009272A8"/>
    <w:rsid w:val="00962F49"/>
    <w:rsid w:val="00966264"/>
    <w:rsid w:val="009752D4"/>
    <w:rsid w:val="009A0CA3"/>
    <w:rsid w:val="009B4A7E"/>
    <w:rsid w:val="009C225E"/>
    <w:rsid w:val="009C2F78"/>
    <w:rsid w:val="009C6490"/>
    <w:rsid w:val="009C699B"/>
    <w:rsid w:val="009F40DD"/>
    <w:rsid w:val="00A51832"/>
    <w:rsid w:val="00A746DC"/>
    <w:rsid w:val="00A82E80"/>
    <w:rsid w:val="00AA780E"/>
    <w:rsid w:val="00AB06C2"/>
    <w:rsid w:val="00AD4969"/>
    <w:rsid w:val="00AE6982"/>
    <w:rsid w:val="00B24B5C"/>
    <w:rsid w:val="00B60AAE"/>
    <w:rsid w:val="00B951D8"/>
    <w:rsid w:val="00B96D16"/>
    <w:rsid w:val="00BA7BC2"/>
    <w:rsid w:val="00BB2A7A"/>
    <w:rsid w:val="00C03FA9"/>
    <w:rsid w:val="00C12180"/>
    <w:rsid w:val="00C2199D"/>
    <w:rsid w:val="00C34B40"/>
    <w:rsid w:val="00C95747"/>
    <w:rsid w:val="00C9669E"/>
    <w:rsid w:val="00CB2756"/>
    <w:rsid w:val="00D11F5F"/>
    <w:rsid w:val="00D50E60"/>
    <w:rsid w:val="00D6101F"/>
    <w:rsid w:val="00D62402"/>
    <w:rsid w:val="00D64199"/>
    <w:rsid w:val="00D67058"/>
    <w:rsid w:val="00D947D2"/>
    <w:rsid w:val="00DA4056"/>
    <w:rsid w:val="00DC205E"/>
    <w:rsid w:val="00E2204B"/>
    <w:rsid w:val="00E30B10"/>
    <w:rsid w:val="00E347FA"/>
    <w:rsid w:val="00E35043"/>
    <w:rsid w:val="00E45401"/>
    <w:rsid w:val="00EB1114"/>
    <w:rsid w:val="00EC6973"/>
    <w:rsid w:val="00EC7745"/>
    <w:rsid w:val="00EE10EC"/>
    <w:rsid w:val="00EF13E1"/>
    <w:rsid w:val="00F0310E"/>
    <w:rsid w:val="00F11286"/>
    <w:rsid w:val="00F27F3C"/>
    <w:rsid w:val="00F42697"/>
    <w:rsid w:val="00F86736"/>
    <w:rsid w:val="00F900C8"/>
    <w:rsid w:val="00FA45B5"/>
    <w:rsid w:val="00FB000E"/>
    <w:rsid w:val="00FC16B4"/>
    <w:rsid w:val="00FD5EB6"/>
    <w:rsid w:val="00FD7234"/>
    <w:rsid w:val="074AF93D"/>
    <w:rsid w:val="0AD1732C"/>
    <w:rsid w:val="0EBAD373"/>
    <w:rsid w:val="39F32C33"/>
    <w:rsid w:val="437AC6CD"/>
    <w:rsid w:val="6B718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B33A5"/>
  <w15:docId w15:val="{32EE2B0A-8E6B-4089-A7B8-3CB5694F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45401"/>
    <w:rPr>
      <w:color w:val="0000FF" w:themeColor="hyperlink"/>
      <w:u w:val="single"/>
    </w:rPr>
  </w:style>
  <w:style w:type="paragraph" w:styleId="ListParagraph">
    <w:name w:val="List Paragraph"/>
    <w:basedOn w:val="Normal"/>
    <w:uiPriority w:val="34"/>
    <w:qFormat/>
    <w:rsid w:val="00E45401"/>
    <w:pPr>
      <w:ind w:left="720"/>
      <w:contextualSpacing/>
    </w:pPr>
  </w:style>
  <w:style w:type="paragraph" w:styleId="Header">
    <w:name w:val="header"/>
    <w:basedOn w:val="Normal"/>
    <w:link w:val="HeaderChar"/>
    <w:uiPriority w:val="99"/>
    <w:unhideWhenUsed/>
    <w:rsid w:val="009B4A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4A7E"/>
  </w:style>
  <w:style w:type="paragraph" w:styleId="Footer">
    <w:name w:val="footer"/>
    <w:basedOn w:val="Normal"/>
    <w:link w:val="FooterChar"/>
    <w:uiPriority w:val="99"/>
    <w:unhideWhenUsed/>
    <w:rsid w:val="009B4A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4A7E"/>
  </w:style>
  <w:style w:type="paragraph" w:styleId="BalloonText">
    <w:name w:val="Balloon Text"/>
    <w:basedOn w:val="Normal"/>
    <w:link w:val="BalloonTextChar"/>
    <w:uiPriority w:val="99"/>
    <w:semiHidden/>
    <w:unhideWhenUsed/>
    <w:rsid w:val="009B4A7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B4A7E"/>
    <w:rPr>
      <w:rFonts w:ascii="Tahoma" w:hAnsi="Tahoma" w:cs="Tahoma"/>
      <w:sz w:val="16"/>
      <w:szCs w:val="16"/>
    </w:rPr>
  </w:style>
  <w:style w:type="table" w:styleId="TableGrid">
    <w:name w:val="Table Grid"/>
    <w:basedOn w:val="TableNormal"/>
    <w:uiPriority w:val="59"/>
    <w:rsid w:val="009662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D947D2"/>
    <w:rPr>
      <w:color w:val="800080" w:themeColor="followedHyperlink"/>
      <w:u w:val="single"/>
    </w:rPr>
  </w:style>
  <w:style w:type="character" w:styleId="CommentReference">
    <w:name w:val="annotation reference"/>
    <w:basedOn w:val="DefaultParagraphFont"/>
    <w:uiPriority w:val="99"/>
    <w:semiHidden/>
    <w:unhideWhenUsed/>
    <w:rsid w:val="0045249B"/>
    <w:rPr>
      <w:sz w:val="16"/>
      <w:szCs w:val="16"/>
    </w:rPr>
  </w:style>
  <w:style w:type="paragraph" w:styleId="CommentText">
    <w:name w:val="annotation text"/>
    <w:basedOn w:val="Normal"/>
    <w:link w:val="CommentTextChar"/>
    <w:uiPriority w:val="99"/>
    <w:semiHidden/>
    <w:unhideWhenUsed/>
    <w:rsid w:val="0045249B"/>
    <w:pPr>
      <w:spacing w:line="240" w:lineRule="auto"/>
    </w:pPr>
    <w:rPr>
      <w:sz w:val="20"/>
      <w:szCs w:val="20"/>
    </w:rPr>
  </w:style>
  <w:style w:type="character" w:styleId="CommentTextChar" w:customStyle="1">
    <w:name w:val="Comment Text Char"/>
    <w:basedOn w:val="DefaultParagraphFont"/>
    <w:link w:val="CommentText"/>
    <w:uiPriority w:val="99"/>
    <w:semiHidden/>
    <w:rsid w:val="0045249B"/>
    <w:rPr>
      <w:sz w:val="20"/>
      <w:szCs w:val="20"/>
    </w:rPr>
  </w:style>
  <w:style w:type="paragraph" w:styleId="CommentSubject">
    <w:name w:val="annotation subject"/>
    <w:basedOn w:val="CommentText"/>
    <w:next w:val="CommentText"/>
    <w:link w:val="CommentSubjectChar"/>
    <w:uiPriority w:val="99"/>
    <w:semiHidden/>
    <w:unhideWhenUsed/>
    <w:rsid w:val="0045249B"/>
    <w:rPr>
      <w:b/>
      <w:bCs/>
    </w:rPr>
  </w:style>
  <w:style w:type="character" w:styleId="CommentSubjectChar" w:customStyle="1">
    <w:name w:val="Comment Subject Char"/>
    <w:basedOn w:val="CommentTextChar"/>
    <w:link w:val="CommentSubject"/>
    <w:uiPriority w:val="99"/>
    <w:semiHidden/>
    <w:rsid w:val="0045249B"/>
    <w:rPr>
      <w:b/>
      <w:bCs/>
      <w:sz w:val="20"/>
      <w:szCs w:val="20"/>
    </w:rPr>
  </w:style>
  <w:style w:type="paragraph" w:styleId="Revision">
    <w:name w:val="Revision"/>
    <w:hidden/>
    <w:uiPriority w:val="99"/>
    <w:semiHidden/>
    <w:rsid w:val="00F90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9940">
      <w:bodyDiv w:val="1"/>
      <w:marLeft w:val="0"/>
      <w:marRight w:val="0"/>
      <w:marTop w:val="0"/>
      <w:marBottom w:val="0"/>
      <w:divBdr>
        <w:top w:val="none" w:sz="0" w:space="0" w:color="auto"/>
        <w:left w:val="none" w:sz="0" w:space="0" w:color="auto"/>
        <w:bottom w:val="none" w:sz="0" w:space="0" w:color="auto"/>
        <w:right w:val="none" w:sz="0" w:space="0" w:color="auto"/>
      </w:divBdr>
    </w:div>
    <w:div w:id="1092898447">
      <w:bodyDiv w:val="1"/>
      <w:marLeft w:val="0"/>
      <w:marRight w:val="0"/>
      <w:marTop w:val="0"/>
      <w:marBottom w:val="0"/>
      <w:divBdr>
        <w:top w:val="none" w:sz="0" w:space="0" w:color="auto"/>
        <w:left w:val="none" w:sz="0" w:space="0" w:color="auto"/>
        <w:bottom w:val="none" w:sz="0" w:space="0" w:color="auto"/>
        <w:right w:val="none" w:sz="0" w:space="0" w:color="auto"/>
      </w:divBdr>
    </w:div>
    <w:div w:id="1206018537">
      <w:bodyDiv w:val="1"/>
      <w:marLeft w:val="0"/>
      <w:marRight w:val="0"/>
      <w:marTop w:val="0"/>
      <w:marBottom w:val="0"/>
      <w:divBdr>
        <w:top w:val="none" w:sz="0" w:space="0" w:color="auto"/>
        <w:left w:val="none" w:sz="0" w:space="0" w:color="auto"/>
        <w:bottom w:val="none" w:sz="0" w:space="0" w:color="auto"/>
        <w:right w:val="none" w:sz="0" w:space="0" w:color="auto"/>
      </w:divBdr>
    </w:div>
    <w:div w:id="176345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rec@ucc.ie" TargetMode="External" Id="rId13" /><Relationship Type="http://schemas.openxmlformats.org/officeDocument/2006/relationships/hyperlink" Target="https://www.ucc.ie/en/research/support/ethics/" TargetMode="External" Id="rId18" /><Relationship Type="http://schemas.openxmlformats.org/officeDocument/2006/relationships/hyperlink" Target="mailto:studentgardavetting@ucc.ie" TargetMode="External" Id="rId26" /><Relationship Type="http://schemas.openxmlformats.org/officeDocument/2006/relationships/hyperlink" Target="https://libguides.ucc.ie/researchdataservice/storageandbackup"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mailto:aeec@ucc.ie" TargetMode="External" Id="rId12" /><Relationship Type="http://schemas.microsoft.com/office/2016/09/relationships/commentsIds" Target="commentsIds.xml" Id="rId17" /><Relationship Type="http://schemas.openxmlformats.org/officeDocument/2006/relationships/hyperlink" Target="https://www.ucc.ie/en/media/studyatucc/undergrads/downloadabledocumentssection/UCCStudentVettingPolicyandProcedure.pdf" TargetMode="External" Id="rId25" /><Relationship Type="http://schemas.openxmlformats.org/officeDocument/2006/relationships/header" Target="header2.xml" Id="rId33"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s://www.ucc.ie/en/research/support/ethics/socialresearch/" TargetMode="External" Id="rId20" /><Relationship Type="http://schemas.openxmlformats.org/officeDocument/2006/relationships/hyperlink" Target="https://www.ucc.ie/en/media/research/researchatucc/ethicswebpage/GUIDANCEDOCUMENTFORCONDUCTINGRESEARCHONONLINEPLATFORMSfinal22Jan19.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rec@ucc.ie" TargetMode="External" Id="rId11" /><Relationship Type="http://schemas.openxmlformats.org/officeDocument/2006/relationships/hyperlink" Target="https://www.ucc.ie/en/hr/gardavetting/" TargetMode="External" Id="rId24" /><Relationship Type="http://schemas.openxmlformats.org/officeDocument/2006/relationships/footer" Target="footer1.xm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comments" Target="comments.xml" Id="rId15" /><Relationship Type="http://schemas.openxmlformats.org/officeDocument/2006/relationships/hyperlink" Target="http://www.irishstatutebook.ie/eli/2015/act/36/enacted/en/pdf" TargetMode="External" Id="rId23" /><Relationship Type="http://schemas.openxmlformats.org/officeDocument/2006/relationships/hyperlink" Target="https://www.ucc.ie/en/gdpr/policyandprocedures/dataprotectionimpactassessmentprocedure/" TargetMode="External" Id="rId28" /><Relationship Type="http://schemas.microsoft.com/office/2011/relationships/people" Target="people.xml" Id="rId36" /><Relationship Type="http://schemas.openxmlformats.org/officeDocument/2006/relationships/endnotes" Target="endnotes.xml" Id="rId10" /><Relationship Type="http://schemas.openxmlformats.org/officeDocument/2006/relationships/hyperlink" Target="https://www.ucc.ie/en/media/research/researchatucc/ethicswebpage/UCCCodeofResearchConductV2.3FINAL281119.pdf"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ucc.ie/en/media/research/researchatucc/documents/IntroductiontoResearchEthicsatUCC.pdf" TargetMode="External" Id="rId14" /><Relationship Type="http://schemas.openxmlformats.org/officeDocument/2006/relationships/hyperlink" Target="https://www.ucc.ie/en/media/support/ocla/policies/UCC_Child_Protection_Policy_5April2018-Final.pdf" TargetMode="External" Id="rId22" /><Relationship Type="http://schemas.openxmlformats.org/officeDocument/2006/relationships/hyperlink" Target="https://www.ucc.ie/en/gdpr/" TargetMode="External" Id="rId27" /><Relationship Type="http://schemas.openxmlformats.org/officeDocument/2006/relationships/hyperlink" Target="https://www.ucc.ie/en/media/research/researchatucc/ethicswebpage/VulnerabilityGuidanceDocumentApril2019.pdf" TargetMode="Externa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glossaryDocument" Target="glossary/document.xml" Id="Rb6463e6886d54a3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87a5158-5075-44c3-8309-8c7a509c9d76}"/>
      </w:docPartPr>
      <w:docPartBody>
        <w:p w14:paraId="1FC2F59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320333BC9444EB5CE0DEEA781A14A" ma:contentTypeVersion="12" ma:contentTypeDescription="Create a new document." ma:contentTypeScope="" ma:versionID="5f9fb90f77ebdff3c4dc5904f2ca469a">
  <xsd:schema xmlns:xsd="http://www.w3.org/2001/XMLSchema" xmlns:xs="http://www.w3.org/2001/XMLSchema" xmlns:p="http://schemas.microsoft.com/office/2006/metadata/properties" xmlns:ns2="126a4f69-e0b3-45c3-bf85-03227c4ebf6c" xmlns:ns3="ab9005fc-82ec-4006-b204-3de5958500ed" targetNamespace="http://schemas.microsoft.com/office/2006/metadata/properties" ma:root="true" ma:fieldsID="ee59da1bb142f0b2cddd6104e10c6cfe" ns2:_="" ns3:_="">
    <xsd:import namespace="126a4f69-e0b3-45c3-bf85-03227c4ebf6c"/>
    <xsd:import namespace="ab9005fc-82ec-4006-b204-3de5958500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a4f69-e0b3-45c3-bf85-03227c4eb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005fc-82ec-4006-b204-3de5958500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BAD8F-D647-4B94-99B4-301E58209BAF}">
  <ds:schemaRefs>
    <ds:schemaRef ds:uri="http://schemas.openxmlformats.org/officeDocument/2006/bibliography"/>
  </ds:schemaRefs>
</ds:datastoreItem>
</file>

<file path=customXml/itemProps2.xml><?xml version="1.0" encoding="utf-8"?>
<ds:datastoreItem xmlns:ds="http://schemas.openxmlformats.org/officeDocument/2006/customXml" ds:itemID="{FBE2669D-39B1-4933-AB81-A257DBB1B7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BDF7F2-A455-42B7-B51F-7EB1DD6ED01A}">
  <ds:schemaRefs>
    <ds:schemaRef ds:uri="http://schemas.microsoft.com/sharepoint/v3/contenttype/forms"/>
  </ds:schemaRefs>
</ds:datastoreItem>
</file>

<file path=customXml/itemProps4.xml><?xml version="1.0" encoding="utf-8"?>
<ds:datastoreItem xmlns:ds="http://schemas.openxmlformats.org/officeDocument/2006/customXml" ds:itemID="{D790B4BA-87A7-450F-AAB6-48C9F6AE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a4f69-e0b3-45c3-bf85-03227c4ebf6c"/>
    <ds:schemaRef ds:uri="ab9005fc-82ec-4006-b204-3de595850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College Cork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Hales, Liz</dc:creator>
  <cp:keywords/>
  <cp:lastModifiedBy>Liz Hales</cp:lastModifiedBy>
  <cp:revision>3</cp:revision>
  <cp:lastPrinted>2021-05-17T11:51:00Z</cp:lastPrinted>
  <dcterms:created xsi:type="dcterms:W3CDTF">2022-11-17T13:51:00Z</dcterms:created>
  <dcterms:modified xsi:type="dcterms:W3CDTF">2023-02-02T20:57:39Z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0x0101007D7320333BC9444EB5CE0DEEA781A14A</vt:lpwstr>
  </property>
</Properties>
</file>