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E94B" w14:textId="77777777" w:rsidR="00EC43F7" w:rsidRPr="00EC43F7" w:rsidRDefault="00EC43F7" w:rsidP="00EC43F7">
      <w:pPr>
        <w:spacing w:line="360" w:lineRule="auto"/>
        <w:jc w:val="center"/>
        <w:rPr>
          <w:rFonts w:ascii="Calibri" w:eastAsia="Calibri" w:hAnsi="Calibri" w:cs="Calibri"/>
          <w:kern w:val="0"/>
          <w14:ligatures w14:val="none"/>
        </w:rPr>
      </w:pPr>
      <w:r w:rsidRPr="00EC43F7">
        <w:rPr>
          <w:rFonts w:ascii="Calibri" w:eastAsia="Calibri" w:hAnsi="Calibri" w:cs="Calibri"/>
          <w:b/>
          <w:bCs/>
          <w:kern w:val="0"/>
          <w14:ligatures w14:val="none"/>
        </w:rPr>
        <w:t>CARDEA</w:t>
      </w:r>
    </w:p>
    <w:p w14:paraId="5FF0C53A" w14:textId="77777777" w:rsidR="00EC43F7" w:rsidRPr="00EC43F7" w:rsidRDefault="00EC43F7" w:rsidP="00EC43F7">
      <w:pPr>
        <w:spacing w:line="360" w:lineRule="auto"/>
        <w:jc w:val="center"/>
        <w:rPr>
          <w:rFonts w:ascii="Calibri" w:eastAsia="Calibri" w:hAnsi="Calibri" w:cs="Calibri"/>
          <w:kern w:val="0"/>
          <w14:ligatures w14:val="none"/>
        </w:rPr>
      </w:pPr>
      <w:r w:rsidRPr="00EC43F7">
        <w:rPr>
          <w:rFonts w:ascii="Calibri" w:eastAsia="Calibri" w:hAnsi="Calibri" w:cs="Calibri"/>
          <w:kern w:val="0"/>
          <w14:ligatures w14:val="none"/>
        </w:rPr>
        <w:t>Research Managers: A New Frontier</w:t>
      </w:r>
    </w:p>
    <w:p w14:paraId="32CB19F6" w14:textId="77777777" w:rsidR="00EC43F7" w:rsidRPr="00EC43F7" w:rsidRDefault="00EC43F7" w:rsidP="00EC43F7">
      <w:pPr>
        <w:spacing w:line="360" w:lineRule="auto"/>
        <w:jc w:val="center"/>
        <w:rPr>
          <w:rFonts w:ascii="Calibri" w:eastAsia="Calibri" w:hAnsi="Calibri" w:cs="Calibri"/>
          <w:kern w:val="0"/>
          <w14:ligatures w14:val="none"/>
        </w:rPr>
      </w:pPr>
      <w:r w:rsidRPr="00EC43F7">
        <w:rPr>
          <w:rFonts w:ascii="Calibri" w:eastAsia="Calibri" w:hAnsi="Calibri" w:cs="Calibri"/>
          <w:kern w:val="0"/>
          <w14:ligatures w14:val="none"/>
        </w:rPr>
        <w:t>Policy Brief</w:t>
      </w:r>
    </w:p>
    <w:p w14:paraId="34AFCEAE" w14:textId="77777777" w:rsidR="00EC43F7" w:rsidRPr="00EC43F7" w:rsidRDefault="00EC43F7" w:rsidP="00EC43F7">
      <w:pPr>
        <w:keepNext/>
        <w:keepLines/>
        <w:spacing w:before="40" w:after="40" w:line="360" w:lineRule="auto"/>
        <w:outlineLvl w:val="2"/>
        <w:rPr>
          <w:rFonts w:ascii="Calibri" w:eastAsia="Times New Roman" w:hAnsi="Calibri" w:cs="Calibri"/>
          <w:b/>
          <w:color w:val="000000"/>
          <w:kern w:val="0"/>
          <w:szCs w:val="24"/>
          <w14:ligatures w14:val="none"/>
        </w:rPr>
      </w:pPr>
      <w:bookmarkStart w:id="0" w:name="_Toc224123526"/>
      <w:r w:rsidRPr="00EC43F7">
        <w:rPr>
          <w:rFonts w:ascii="Calibri" w:eastAsia="Times New Roman" w:hAnsi="Calibri" w:cs="Calibri"/>
          <w:b/>
          <w:color w:val="000000"/>
          <w:kern w:val="0"/>
          <w:szCs w:val="24"/>
          <w14:ligatures w14:val="none"/>
        </w:rPr>
        <w:t>Executive Summary</w:t>
      </w:r>
      <w:bookmarkEnd w:id="0"/>
    </w:p>
    <w:p w14:paraId="5798BAA8" w14:textId="77777777" w:rsidR="00EC43F7" w:rsidRPr="00EC43F7" w:rsidRDefault="00EC43F7" w:rsidP="00EC43F7">
      <w:p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Research Managers are central to enabling information flow and advancing research collaboration across Europe. They occupy both generalist and specialised roles and are typically professionals with more than 10 years of experience.   Over the last 4 years significant progress has been made in recognising their role and contribution - most notably through the publication of the RM Competency Framework (</w:t>
      </w:r>
      <w:r w:rsidRPr="00EC43F7">
        <w:rPr>
          <w:rFonts w:ascii="Calibri" w:eastAsia="Calibri" w:hAnsi="Calibri" w:cs="Calibri"/>
          <w:b/>
          <w:bCs/>
          <w:kern w:val="0"/>
          <w14:ligatures w14:val="none"/>
        </w:rPr>
        <w:t>RM Comp</w:t>
      </w:r>
      <w:r w:rsidRPr="00EC43F7">
        <w:rPr>
          <w:rFonts w:ascii="Calibri" w:eastAsia="Calibri" w:hAnsi="Calibri" w:cs="Calibri"/>
          <w:kern w:val="0"/>
          <w14:ligatures w14:val="none"/>
        </w:rPr>
        <w:t>) by the European Commission, the formal inclusion of the title "</w:t>
      </w:r>
      <w:r w:rsidRPr="00EC43F7">
        <w:rPr>
          <w:rFonts w:ascii="Calibri" w:eastAsia="Calibri" w:hAnsi="Calibri" w:cs="Calibri"/>
          <w:b/>
          <w:bCs/>
          <w:kern w:val="0"/>
          <w14:ligatures w14:val="none"/>
        </w:rPr>
        <w:t>Research Manager</w:t>
      </w:r>
      <w:r w:rsidRPr="00EC43F7">
        <w:rPr>
          <w:rFonts w:ascii="Calibri" w:eastAsia="Calibri" w:hAnsi="Calibri" w:cs="Calibri"/>
          <w:kern w:val="0"/>
          <w14:ligatures w14:val="none"/>
        </w:rPr>
        <w:t xml:space="preserve">" in the New ERA Policy, and the launch of </w:t>
      </w:r>
      <w:r w:rsidRPr="00EC43F7">
        <w:rPr>
          <w:rFonts w:ascii="Calibri" w:eastAsia="Calibri" w:hAnsi="Calibri" w:cs="Calibri"/>
          <w:b/>
          <w:bCs/>
          <w:kern w:val="0"/>
          <w14:ligatures w14:val="none"/>
        </w:rPr>
        <w:t>Action 17</w:t>
      </w:r>
      <w:r w:rsidRPr="00EC43F7">
        <w:rPr>
          <w:rFonts w:ascii="Calibri" w:eastAsia="Calibri" w:hAnsi="Calibri" w:cs="Calibri"/>
          <w:kern w:val="0"/>
          <w14:ligatures w14:val="none"/>
        </w:rPr>
        <w:t xml:space="preserve"> dedicated to supporting the role. Yet, despite these advances, the role is still undervalued, and its policies are almost invisible in many member states. This under-recognition is particularly striking given the current shifting geopolitical landscape. Considering Europe’s growing consensus on the importance of pooling resources and reinforcing cooperation in defence R&amp;D across the EU to modernise its economy, Research Managers emerge with a strategically vital role. As discussions around Framework Programme 10 (FP10) evolve, and with the European Commission’s ambition to consolidate and scale existing programmes into a cohesive European Competitiveness Fund,</w:t>
      </w:r>
      <w:r w:rsidRPr="00EC43F7">
        <w:rPr>
          <w:rFonts w:ascii="Calibri" w:eastAsia="Calibri" w:hAnsi="Calibri" w:cs="Calibri"/>
          <w:kern w:val="0"/>
          <w:vertAlign w:val="superscript"/>
          <w14:ligatures w14:val="none"/>
        </w:rPr>
        <w:t xml:space="preserve"> </w:t>
      </w:r>
      <w:r w:rsidRPr="00EC43F7">
        <w:rPr>
          <w:rFonts w:ascii="Calibri" w:eastAsia="Calibri" w:hAnsi="Calibri" w:cs="Calibri"/>
          <w:kern w:val="0"/>
          <w14:ligatures w14:val="none"/>
        </w:rPr>
        <w:t>Research Managers are uniquely positioned to bridge institutional gaps, enabling cross-sector collaboration to prepare Europe’s research community across all domains to adapt to geopolitical and economic change.</w:t>
      </w:r>
    </w:p>
    <w:p w14:paraId="193DA9E2" w14:textId="77777777" w:rsidR="00EC43F7" w:rsidRPr="00EC43F7" w:rsidRDefault="00EC43F7" w:rsidP="00EC43F7">
      <w:pPr>
        <w:spacing w:line="360" w:lineRule="auto"/>
        <w:jc w:val="both"/>
        <w:rPr>
          <w:rFonts w:ascii="Calibri" w:eastAsia="Calibri" w:hAnsi="Calibri" w:cs="Calibri"/>
          <w:kern w:val="0"/>
          <w14:ligatures w14:val="none"/>
        </w:rPr>
      </w:pPr>
    </w:p>
    <w:p w14:paraId="6DAAF753" w14:textId="77777777" w:rsidR="00EC43F7" w:rsidRPr="00EC43F7" w:rsidRDefault="00EC43F7" w:rsidP="00EC43F7">
      <w:pPr>
        <w:keepNext/>
        <w:keepLines/>
        <w:spacing w:before="40" w:after="40" w:line="360" w:lineRule="auto"/>
        <w:outlineLvl w:val="2"/>
        <w:rPr>
          <w:rFonts w:ascii="Calibri" w:eastAsia="Times New Roman" w:hAnsi="Calibri" w:cs="Calibri"/>
          <w:b/>
          <w:color w:val="000000"/>
          <w:kern w:val="0"/>
          <w:szCs w:val="24"/>
          <w14:ligatures w14:val="none"/>
        </w:rPr>
      </w:pPr>
      <w:bookmarkStart w:id="1" w:name="_Toc224123527"/>
      <w:r w:rsidRPr="00EC43F7">
        <w:rPr>
          <w:rFonts w:ascii="Calibri" w:eastAsia="Times New Roman" w:hAnsi="Calibri" w:cs="Calibri"/>
          <w:b/>
          <w:color w:val="000000"/>
          <w:kern w:val="0"/>
          <w:szCs w:val="24"/>
          <w14:ligatures w14:val="none"/>
        </w:rPr>
        <w:t>Background and Context</w:t>
      </w:r>
      <w:bookmarkEnd w:id="1"/>
    </w:p>
    <w:p w14:paraId="52DF1C25" w14:textId="77777777" w:rsidR="00EC43F7" w:rsidRPr="00EC43F7" w:rsidRDefault="00EC43F7" w:rsidP="00EC43F7">
      <w:p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 xml:space="preserve">Recent Reports highlight that there is </w:t>
      </w:r>
      <w:r w:rsidRPr="00EC43F7">
        <w:rPr>
          <w:rFonts w:ascii="Calibri" w:eastAsia="Calibri" w:hAnsi="Calibri" w:cs="Calibri"/>
          <w:b/>
          <w:bCs/>
          <w:kern w:val="0"/>
          <w14:ligatures w14:val="none"/>
        </w:rPr>
        <w:t>Fragmented Policy Coordination</w:t>
      </w:r>
      <w:r w:rsidRPr="00EC43F7">
        <w:rPr>
          <w:rFonts w:ascii="Calibri" w:eastAsia="Calibri" w:hAnsi="Calibri" w:cs="Calibri"/>
          <w:kern w:val="0"/>
          <w14:ligatures w14:val="none"/>
        </w:rPr>
        <w:t xml:space="preserve"> across research and industrial sectors. This impedes efficiency and innovation within the EU. If Europe is to “take a new stance towards cooperation: in removing obstacles, harmonising rules and laws, and coordinating policies” then </w:t>
      </w:r>
      <w:r w:rsidRPr="00EC43F7">
        <w:rPr>
          <w:rFonts w:ascii="Calibri" w:eastAsia="Calibri" w:hAnsi="Calibri" w:cs="Calibri"/>
          <w:b/>
          <w:bCs/>
          <w:kern w:val="0"/>
          <w14:ligatures w14:val="none"/>
        </w:rPr>
        <w:t>strategic cooperation amongst Member States</w:t>
      </w:r>
      <w:r w:rsidRPr="00EC43F7">
        <w:rPr>
          <w:rFonts w:ascii="Calibri" w:eastAsia="Calibri" w:hAnsi="Calibri" w:cs="Calibri"/>
          <w:kern w:val="0"/>
          <w14:ligatures w14:val="none"/>
        </w:rPr>
        <w:t xml:space="preserve"> will be essential in driving the transformation needed to close Europe’s research and innovation gap.  Additionally, current geopolitical tensions highlight major concerns for Europe’s security and defence, particularly in relation to </w:t>
      </w:r>
      <w:r w:rsidRPr="00EC43F7">
        <w:rPr>
          <w:rFonts w:ascii="Calibri" w:eastAsia="Calibri" w:hAnsi="Calibri" w:cs="Calibri"/>
          <w:b/>
          <w:bCs/>
          <w:kern w:val="0"/>
          <w14:ligatures w14:val="none"/>
        </w:rPr>
        <w:t>underinvestment in Defence R&amp;D</w:t>
      </w:r>
      <w:r w:rsidRPr="00EC43F7">
        <w:rPr>
          <w:rFonts w:ascii="Calibri" w:eastAsia="Calibri" w:hAnsi="Calibri" w:cs="Calibri"/>
          <w:kern w:val="0"/>
          <w14:ligatures w14:val="none"/>
        </w:rPr>
        <w:t xml:space="preserve">. “The EU defence industry is an important driver of competitiveness, but it lacks scale and is falling short of its potential.” To resolve these problems, Europe must enhance technologies for R&amp;D and the funding frameworks that support them. As Enrico Letta notes “Strengthening our security does not contradict our peace-oriented goals; rather, it ensures that the EU can continue to promote </w:t>
      </w:r>
      <w:r w:rsidRPr="00EC43F7">
        <w:rPr>
          <w:rFonts w:ascii="Calibri" w:eastAsia="Calibri" w:hAnsi="Calibri" w:cs="Calibri"/>
          <w:kern w:val="0"/>
          <w14:ligatures w14:val="none"/>
        </w:rPr>
        <w:lastRenderedPageBreak/>
        <w:t xml:space="preserve">and maintain peace effectively in the face of global uncertainties.” This requires significant and coordinated investment in research and innovation. </w:t>
      </w:r>
    </w:p>
    <w:p w14:paraId="54478DFC" w14:textId="77777777" w:rsidR="00EC43F7" w:rsidRPr="00EC43F7" w:rsidRDefault="00EC43F7" w:rsidP="00EC43F7">
      <w:pPr>
        <w:spacing w:line="360" w:lineRule="auto"/>
        <w:ind w:firstLine="720"/>
        <w:jc w:val="both"/>
        <w:rPr>
          <w:rFonts w:ascii="Calibri" w:eastAsia="Calibri" w:hAnsi="Calibri" w:cs="Calibri"/>
          <w:kern w:val="0"/>
          <w14:ligatures w14:val="none"/>
        </w:rPr>
      </w:pPr>
      <w:r w:rsidRPr="00EC43F7">
        <w:rPr>
          <w:rFonts w:ascii="Calibri" w:eastAsia="Calibri" w:hAnsi="Calibri" w:cs="Calibri"/>
          <w:kern w:val="0"/>
          <w14:ligatures w14:val="none"/>
        </w:rPr>
        <w:t xml:space="preserve">Regardless of the outcome of the FP 10 debate (civilian and/or defence) in June 2024, the European Commission projected that an additional </w:t>
      </w:r>
      <w:r w:rsidRPr="00EC43F7">
        <w:rPr>
          <w:rFonts w:ascii="Calibri" w:eastAsia="Calibri" w:hAnsi="Calibri" w:cs="Calibri"/>
          <w:b/>
          <w:bCs/>
          <w:kern w:val="0"/>
          <w14:ligatures w14:val="none"/>
        </w:rPr>
        <w:t>€500 billion in defence investments</w:t>
      </w:r>
      <w:r w:rsidRPr="00EC43F7">
        <w:rPr>
          <w:rFonts w:ascii="Calibri" w:eastAsia="Calibri" w:hAnsi="Calibri" w:cs="Calibri"/>
          <w:kern w:val="0"/>
          <w14:ligatures w14:val="none"/>
        </w:rPr>
        <w:t xml:space="preserve"> will be required over the coming decade. In 2025, the European Commission confirmed that </w:t>
      </w:r>
      <w:r w:rsidRPr="00EC43F7">
        <w:rPr>
          <w:rFonts w:ascii="Calibri" w:eastAsia="Calibri" w:hAnsi="Calibri" w:cs="Calibri"/>
          <w:b/>
          <w:bCs/>
          <w:kern w:val="0"/>
          <w14:ligatures w14:val="none"/>
        </w:rPr>
        <w:t>€910 million under the 2024 EDF call has now been allocated</w:t>
      </w:r>
      <w:r w:rsidRPr="00EC43F7">
        <w:rPr>
          <w:rFonts w:ascii="Calibri" w:eastAsia="Calibri" w:hAnsi="Calibri" w:cs="Calibri"/>
          <w:kern w:val="0"/>
          <w14:ligatures w14:val="none"/>
        </w:rPr>
        <w:t xml:space="preserve"> to collaborative defence research and capability development projects. Many consortia were formed from a </w:t>
      </w:r>
      <w:r w:rsidRPr="00EC43F7">
        <w:rPr>
          <w:rFonts w:ascii="Calibri" w:eastAsia="Calibri" w:hAnsi="Calibri" w:cs="Calibri"/>
          <w:b/>
          <w:bCs/>
          <w:kern w:val="0"/>
          <w14:ligatures w14:val="none"/>
        </w:rPr>
        <w:t>record number of proposals</w:t>
      </w:r>
      <w:r w:rsidRPr="00EC43F7">
        <w:rPr>
          <w:rFonts w:ascii="Calibri" w:eastAsia="Calibri" w:hAnsi="Calibri" w:cs="Calibri"/>
          <w:kern w:val="0"/>
          <w14:ligatures w14:val="none"/>
        </w:rPr>
        <w:t xml:space="preserve">, reflecting strong interest from defence industry and research partners across Member States. For </w:t>
      </w:r>
      <w:r w:rsidRPr="00EC43F7">
        <w:rPr>
          <w:rFonts w:ascii="Calibri" w:eastAsia="Calibri" w:hAnsi="Calibri" w:cs="Calibri"/>
          <w:b/>
          <w:bCs/>
          <w:kern w:val="0"/>
          <w14:ligatures w14:val="none"/>
        </w:rPr>
        <w:t>2026</w:t>
      </w:r>
      <w:r w:rsidRPr="00EC43F7">
        <w:rPr>
          <w:rFonts w:ascii="Calibri" w:eastAsia="Calibri" w:hAnsi="Calibri" w:cs="Calibri"/>
          <w:kern w:val="0"/>
          <w14:ligatures w14:val="none"/>
        </w:rPr>
        <w:t xml:space="preserve">, the Commission has published a </w:t>
      </w:r>
      <w:r w:rsidRPr="00EC43F7">
        <w:rPr>
          <w:rFonts w:ascii="Calibri" w:eastAsia="Calibri" w:hAnsi="Calibri" w:cs="Calibri"/>
          <w:b/>
          <w:bCs/>
          <w:kern w:val="0"/>
          <w14:ligatures w14:val="none"/>
        </w:rPr>
        <w:t>new EDF Work Programme</w:t>
      </w:r>
      <w:r w:rsidRPr="00EC43F7">
        <w:rPr>
          <w:rFonts w:ascii="Calibri" w:eastAsia="Calibri" w:hAnsi="Calibri" w:cs="Calibri"/>
          <w:kern w:val="0"/>
          <w14:ligatures w14:val="none"/>
        </w:rPr>
        <w:t xml:space="preserve"> that allocates </w:t>
      </w:r>
      <w:r w:rsidRPr="00EC43F7">
        <w:rPr>
          <w:rFonts w:ascii="Calibri" w:eastAsia="Calibri" w:hAnsi="Calibri" w:cs="Calibri"/>
          <w:b/>
          <w:bCs/>
          <w:kern w:val="0"/>
          <w14:ligatures w14:val="none"/>
        </w:rPr>
        <w:t>about €1 billion</w:t>
      </w:r>
      <w:r w:rsidRPr="00EC43F7">
        <w:rPr>
          <w:rFonts w:ascii="Calibri" w:eastAsia="Calibri" w:hAnsi="Calibri" w:cs="Calibri"/>
          <w:kern w:val="0"/>
          <w14:ligatures w14:val="none"/>
        </w:rPr>
        <w:t xml:space="preserve"> to collaborative defence research and development. As defence innovation accelerates, researchers and scientists will be essential in driving research and technological development, while </w:t>
      </w:r>
      <w:r w:rsidRPr="00EC43F7">
        <w:rPr>
          <w:rFonts w:ascii="Calibri" w:eastAsia="Calibri" w:hAnsi="Calibri" w:cs="Calibri"/>
          <w:b/>
          <w:bCs/>
          <w:kern w:val="0"/>
          <w14:ligatures w14:val="none"/>
        </w:rPr>
        <w:t>Research Managers will play a critical role</w:t>
      </w:r>
      <w:r w:rsidRPr="00EC43F7">
        <w:rPr>
          <w:rFonts w:ascii="Calibri" w:eastAsia="Calibri" w:hAnsi="Calibri" w:cs="Calibri"/>
          <w:kern w:val="0"/>
          <w14:ligatures w14:val="none"/>
        </w:rPr>
        <w:t xml:space="preserve"> in managing and coordinating the substantial expansion of defence-related research efforts.  In a research landscape marked by growing international collaboration, dual-use technology risks, and foreign interference concerns, the need for highly trained professionals who can navigate these complexities has never been greater. In both civilian and defence R&amp;D contexts, RMs are vital actors to ensure coordination and research integrity within Europe’s research ecosystem. Recognising and supporting this emerging function is critical to the ERA's long-term resilience and strategic autonomy.</w:t>
      </w:r>
    </w:p>
    <w:p w14:paraId="581ECE84" w14:textId="77777777" w:rsidR="00EC43F7" w:rsidRPr="00EC43F7" w:rsidRDefault="00EC43F7" w:rsidP="00EC43F7">
      <w:pPr>
        <w:spacing w:line="360" w:lineRule="auto"/>
        <w:jc w:val="both"/>
        <w:rPr>
          <w:rFonts w:ascii="Calibri" w:eastAsia="Calibri" w:hAnsi="Calibri" w:cs="Calibri"/>
          <w:kern w:val="0"/>
          <w14:ligatures w14:val="none"/>
        </w:rPr>
      </w:pPr>
    </w:p>
    <w:p w14:paraId="30E59338" w14:textId="77777777" w:rsidR="00EC43F7" w:rsidRPr="00EC43F7" w:rsidRDefault="00EC43F7" w:rsidP="00EC43F7">
      <w:pPr>
        <w:keepNext/>
        <w:keepLines/>
        <w:spacing w:before="40" w:after="40" w:line="360" w:lineRule="auto"/>
        <w:outlineLvl w:val="2"/>
        <w:rPr>
          <w:rFonts w:ascii="Calibri" w:eastAsia="Times New Roman" w:hAnsi="Calibri" w:cs="Calibri"/>
          <w:b/>
          <w:color w:val="000000"/>
          <w:kern w:val="0"/>
          <w:szCs w:val="24"/>
          <w14:ligatures w14:val="none"/>
        </w:rPr>
      </w:pPr>
      <w:bookmarkStart w:id="2" w:name="_Toc224123528"/>
      <w:r w:rsidRPr="00EC43F7">
        <w:rPr>
          <w:rFonts w:ascii="Calibri" w:eastAsia="Times New Roman" w:hAnsi="Calibri" w:cs="Calibri"/>
          <w:b/>
          <w:color w:val="000000"/>
          <w:kern w:val="0"/>
          <w:szCs w:val="24"/>
          <w14:ligatures w14:val="none"/>
        </w:rPr>
        <w:t>Key Issues and Policy Challenges</w:t>
      </w:r>
      <w:bookmarkEnd w:id="2"/>
    </w:p>
    <w:p w14:paraId="724D8915" w14:textId="77777777" w:rsidR="00EC43F7" w:rsidRPr="00EC43F7" w:rsidRDefault="00EC43F7" w:rsidP="00EC43F7">
      <w:pPr>
        <w:spacing w:line="360" w:lineRule="auto"/>
        <w:jc w:val="both"/>
        <w:rPr>
          <w:rFonts w:ascii="Calibri" w:eastAsia="Calibri" w:hAnsi="Calibri" w:cs="Calibri"/>
          <w:kern w:val="0"/>
          <w:lang w:val="pl-PL"/>
          <w14:ligatures w14:val="none"/>
        </w:rPr>
      </w:pPr>
      <w:r w:rsidRPr="00EC43F7">
        <w:rPr>
          <w:rFonts w:ascii="Calibri" w:eastAsia="Calibri" w:hAnsi="Calibri" w:cs="Calibri"/>
          <w:kern w:val="0"/>
          <w14:ligatures w14:val="none"/>
        </w:rPr>
        <w:t xml:space="preserve">While the European Research Area (ERA) policy agenda has increasingly emphasised the importance of professional Research Management (particularly through </w:t>
      </w:r>
      <w:r w:rsidRPr="00EC43F7">
        <w:rPr>
          <w:rFonts w:ascii="Calibri" w:eastAsia="Calibri" w:hAnsi="Calibri" w:cs="Calibri"/>
          <w:b/>
          <w:bCs/>
          <w:kern w:val="0"/>
          <w14:ligatures w14:val="none"/>
        </w:rPr>
        <w:t>Action 17</w:t>
      </w:r>
      <w:r w:rsidRPr="00EC43F7">
        <w:rPr>
          <w:rFonts w:ascii="Calibri" w:eastAsia="Calibri" w:hAnsi="Calibri" w:cs="Calibri"/>
          <w:kern w:val="0"/>
          <w14:ligatures w14:val="none"/>
        </w:rPr>
        <w:t xml:space="preserve"> and more recently</w:t>
      </w:r>
      <w:r w:rsidRPr="00EC43F7">
        <w:rPr>
          <w:rFonts w:ascii="Calibri" w:eastAsia="Calibri" w:hAnsi="Calibri" w:cs="Calibri"/>
          <w:i/>
          <w:iCs/>
          <w:kern w:val="0"/>
          <w14:ligatures w14:val="none"/>
        </w:rPr>
        <w:t xml:space="preserve"> </w:t>
      </w:r>
      <w:r w:rsidRPr="00EC43F7">
        <w:rPr>
          <w:rFonts w:ascii="Calibri" w:eastAsia="Calibri" w:hAnsi="Calibri" w:cs="Calibri"/>
          <w:b/>
          <w:bCs/>
          <w:i/>
          <w:iCs/>
          <w:kern w:val="0"/>
          <w14:ligatures w14:val="none"/>
        </w:rPr>
        <w:t>Empowering R&amp;I: A new era in Research Management</w:t>
      </w:r>
      <w:r w:rsidRPr="00EC43F7">
        <w:rPr>
          <w:rFonts w:ascii="Calibri" w:eastAsia="Calibri" w:hAnsi="Calibri" w:cs="Calibri"/>
          <w:kern w:val="0"/>
          <w14:ligatures w14:val="none"/>
        </w:rPr>
        <w:t xml:space="preserve">) there remains limited visibility into how these practices are structured and implemented within the European defence research landscape. </w:t>
      </w:r>
      <w:r w:rsidRPr="00EC43F7">
        <w:rPr>
          <w:rFonts w:ascii="Calibri" w:eastAsia="Calibri" w:hAnsi="Calibri" w:cs="Calibri"/>
          <w:kern w:val="0"/>
          <w:lang w:val="pl-PL"/>
          <w14:ligatures w14:val="none"/>
        </w:rPr>
        <w:t xml:space="preserve">These issues and challenges are as follows: </w:t>
      </w:r>
    </w:p>
    <w:p w14:paraId="2390DE3F" w14:textId="77777777" w:rsidR="00EC43F7" w:rsidRPr="00EC43F7" w:rsidRDefault="00EC43F7" w:rsidP="00EC43F7">
      <w:pPr>
        <w:numPr>
          <w:ilvl w:val="0"/>
          <w:numId w:val="2"/>
        </w:num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Research management is not consistently recognised as a distinct and essential profession across the R&amp;I Member State landscape.</w:t>
      </w:r>
    </w:p>
    <w:p w14:paraId="07AAD4DB" w14:textId="77777777" w:rsidR="00EC43F7" w:rsidRPr="00EC43F7" w:rsidRDefault="00EC43F7" w:rsidP="00EC43F7">
      <w:pPr>
        <w:numPr>
          <w:ilvl w:val="0"/>
          <w:numId w:val="2"/>
        </w:num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Fragmented policy pillars continue to constrain Research Management career development, mobility, and skills recognition across sectors.</w:t>
      </w:r>
    </w:p>
    <w:p w14:paraId="3FB4915A" w14:textId="77777777" w:rsidR="00EC43F7" w:rsidRPr="00EC43F7" w:rsidRDefault="00EC43F7" w:rsidP="00EC43F7">
      <w:pPr>
        <w:numPr>
          <w:ilvl w:val="0"/>
          <w:numId w:val="2"/>
        </w:num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There is limited visibility into how Research Management is structured, recognised, and supported across sectors, particularly in Defence R&amp;D.</w:t>
      </w:r>
    </w:p>
    <w:p w14:paraId="0D390197" w14:textId="77777777" w:rsidR="00EC43F7" w:rsidRPr="00EC43F7" w:rsidRDefault="00EC43F7" w:rsidP="00EC43F7">
      <w:pPr>
        <w:numPr>
          <w:ilvl w:val="0"/>
          <w:numId w:val="2"/>
        </w:num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lastRenderedPageBreak/>
        <w:t xml:space="preserve">Formal and informal career progression pathways for Research Managers in Defence R&amp;D are often unclear. </w:t>
      </w:r>
    </w:p>
    <w:p w14:paraId="5EFEB3CD" w14:textId="77777777" w:rsidR="00EC43F7" w:rsidRPr="00EC43F7" w:rsidRDefault="00EC43F7" w:rsidP="00EC43F7">
      <w:pPr>
        <w:numPr>
          <w:ilvl w:val="0"/>
          <w:numId w:val="2"/>
        </w:num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The RM Competency Framework exists but has not yet been tested or applied consistently across sectors, particularly in Defence R&amp;D.</w:t>
      </w:r>
    </w:p>
    <w:p w14:paraId="6C44B748" w14:textId="77777777" w:rsidR="00EC43F7" w:rsidRPr="00EC43F7" w:rsidRDefault="00EC43F7" w:rsidP="00EC43F7">
      <w:pPr>
        <w:numPr>
          <w:ilvl w:val="0"/>
          <w:numId w:val="2"/>
        </w:num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Staff practices in Defence R&amp;D may diverge from ERA frameworks, limiting interoperability and mobility.</w:t>
      </w:r>
    </w:p>
    <w:p w14:paraId="23383002" w14:textId="77777777" w:rsidR="00EC43F7" w:rsidRPr="00EC43F7" w:rsidRDefault="00EC43F7" w:rsidP="00EC43F7">
      <w:pPr>
        <w:numPr>
          <w:ilvl w:val="0"/>
          <w:numId w:val="2"/>
        </w:num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Training provision for Research Managers across sectors is not yet clearly mapped.</w:t>
      </w:r>
    </w:p>
    <w:p w14:paraId="3D96711A" w14:textId="77777777" w:rsidR="00EC43F7" w:rsidRPr="00EC43F7" w:rsidRDefault="00EC43F7" w:rsidP="00EC43F7">
      <w:pPr>
        <w:numPr>
          <w:ilvl w:val="0"/>
          <w:numId w:val="2"/>
        </w:num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Policy development for both civilian and defence RMs is curtailed by gaps in available, comparative evidence on Research Management roles and capacities in Defence R&amp;D.</w:t>
      </w:r>
    </w:p>
    <w:p w14:paraId="4F7DCB03" w14:textId="77777777" w:rsidR="00EC43F7" w:rsidRPr="00EC43F7" w:rsidRDefault="00EC43F7" w:rsidP="00EC43F7">
      <w:pPr>
        <w:spacing w:line="360" w:lineRule="auto"/>
        <w:jc w:val="both"/>
        <w:rPr>
          <w:rFonts w:ascii="Calibri" w:eastAsia="Calibri" w:hAnsi="Calibri" w:cs="Calibri"/>
          <w:kern w:val="0"/>
          <w14:ligatures w14:val="none"/>
        </w:rPr>
      </w:pPr>
    </w:p>
    <w:p w14:paraId="27E20064" w14:textId="77777777" w:rsidR="00EC43F7" w:rsidRPr="00EC43F7" w:rsidRDefault="00EC43F7" w:rsidP="00EC43F7">
      <w:p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 xml:space="preserve">Understanding how the European Defence Agency (EDA) and initiatives like the European Defence Fund (EDF) support Research Management offers invaluable insight into the civilian R&amp;D community and vice versa. </w:t>
      </w:r>
    </w:p>
    <w:p w14:paraId="2435CF0D" w14:textId="77777777" w:rsidR="00EC43F7" w:rsidRPr="00EC43F7" w:rsidRDefault="00EC43F7" w:rsidP="00EC43F7">
      <w:pPr>
        <w:spacing w:line="360" w:lineRule="auto"/>
        <w:ind w:firstLine="720"/>
        <w:jc w:val="both"/>
        <w:rPr>
          <w:rFonts w:ascii="Calibri" w:eastAsia="Calibri" w:hAnsi="Calibri" w:cs="Calibri"/>
          <w:kern w:val="0"/>
          <w14:ligatures w14:val="none"/>
        </w:rPr>
      </w:pPr>
      <w:r w:rsidRPr="00EC43F7">
        <w:rPr>
          <w:rFonts w:ascii="Calibri" w:eastAsia="Calibri" w:hAnsi="Calibri" w:cs="Calibri"/>
          <w:kern w:val="0"/>
          <w14:ligatures w14:val="none"/>
        </w:rPr>
        <w:t xml:space="preserve">In May 2024, the Council of the European Union adopted a Recommendation to enhance research security across Member States, signalling a new strategic emphasis on safeguarding Europe’s knowledge ecosystem from outside interference, intellectual property theft, and the misuse of sensitive research results. The Recommendation calls for increased institutional awareness, cross-sectoral coordination, and the establishment of robust support services for research security and integrity.  In this context, Research Managers also play a critical role not only in enabling research but also (most importantly) in protecting it. </w:t>
      </w:r>
    </w:p>
    <w:p w14:paraId="3F54ED94" w14:textId="77777777" w:rsidR="00EC43F7" w:rsidRPr="00EC43F7" w:rsidRDefault="00EC43F7" w:rsidP="00EC43F7">
      <w:pPr>
        <w:spacing w:line="360" w:lineRule="auto"/>
        <w:ind w:firstLine="720"/>
        <w:jc w:val="both"/>
        <w:rPr>
          <w:rFonts w:ascii="Calibri" w:eastAsia="Calibri" w:hAnsi="Calibri" w:cs="Calibri"/>
          <w:kern w:val="0"/>
          <w14:ligatures w14:val="none"/>
        </w:rPr>
      </w:pPr>
      <w:r w:rsidRPr="00EC43F7">
        <w:rPr>
          <w:rFonts w:ascii="Calibri" w:eastAsia="Calibri" w:hAnsi="Calibri" w:cs="Calibri"/>
          <w:kern w:val="0"/>
          <w14:ligatures w14:val="none"/>
        </w:rPr>
        <w:t xml:space="preserve">Bridging the gap between Europe’s current position and where it needs to be will, in part, depend on </w:t>
      </w:r>
      <w:r w:rsidRPr="00EC43F7">
        <w:rPr>
          <w:rFonts w:ascii="Calibri" w:eastAsia="Calibri" w:hAnsi="Calibri" w:cs="Calibri"/>
          <w:b/>
          <w:bCs/>
          <w:kern w:val="0"/>
          <w14:ligatures w14:val="none"/>
        </w:rPr>
        <w:t xml:space="preserve">the expertise of Research Managers. </w:t>
      </w:r>
      <w:r w:rsidRPr="00EC43F7">
        <w:rPr>
          <w:rFonts w:ascii="Calibri" w:eastAsia="Calibri" w:hAnsi="Calibri" w:cs="Calibri"/>
          <w:kern w:val="0"/>
          <w14:ligatures w14:val="none"/>
        </w:rPr>
        <w:t xml:space="preserve">Their broad roles and competencies enable them to navigate seamlessly across sectors and through silos whilst integrating diverse capabilities to strive toward coordination and strategic research progress. Indeed, </w:t>
      </w:r>
      <w:r w:rsidRPr="00EC43F7">
        <w:rPr>
          <w:rFonts w:ascii="Calibri" w:eastAsia="Calibri" w:hAnsi="Calibri" w:cs="Calibri"/>
          <w:i/>
          <w:iCs/>
          <w:kern w:val="0"/>
          <w14:ligatures w14:val="none"/>
        </w:rPr>
        <w:t>The Pact for Research and Innovation in Europe</w:t>
      </w:r>
      <w:r w:rsidRPr="00EC43F7">
        <w:rPr>
          <w:rFonts w:ascii="Calibri" w:eastAsia="Calibri" w:hAnsi="Calibri" w:cs="Calibri"/>
          <w:kern w:val="0"/>
          <w14:ligatures w14:val="none"/>
        </w:rPr>
        <w:t xml:space="preserve">: </w:t>
      </w:r>
      <w:r w:rsidRPr="00EC43F7">
        <w:rPr>
          <w:rFonts w:ascii="Calibri" w:eastAsia="Calibri" w:hAnsi="Calibri" w:cs="Calibri"/>
          <w:i/>
          <w:iCs/>
          <w:kern w:val="0"/>
          <w14:ligatures w14:val="none"/>
        </w:rPr>
        <w:t xml:space="preserve">Priority II: Enhancing access to R&amp;I excellence across the Union and </w:t>
      </w:r>
      <w:r w:rsidRPr="00EC43F7">
        <w:rPr>
          <w:rFonts w:ascii="Calibri" w:eastAsia="Calibri" w:hAnsi="Calibri" w:cs="Calibri"/>
          <w:b/>
          <w:bCs/>
          <w:i/>
          <w:iCs/>
          <w:kern w:val="0"/>
          <w14:ligatures w14:val="none"/>
        </w:rPr>
        <w:t>enhancing interconnections between innovation ecosystems across the Union</w:t>
      </w:r>
      <w:r w:rsidRPr="00EC43F7">
        <w:rPr>
          <w:rFonts w:ascii="Calibri" w:eastAsia="Calibri" w:hAnsi="Calibri" w:cs="Calibri"/>
          <w:kern w:val="0"/>
          <w14:ligatures w14:val="none"/>
        </w:rPr>
        <w:t xml:space="preserve"> signposts a promising future for the role of Research Manager.  These enhancements include an increase in investments and reforms in member states with lower R&amp;I performance, as well as fostering synergies between Union, national, and regional funding programmes. To be at the forefront of this “interconnection” whilst embracing the </w:t>
      </w:r>
      <w:r w:rsidRPr="00EC43F7">
        <w:rPr>
          <w:rFonts w:ascii="Calibri" w:eastAsia="Calibri" w:hAnsi="Calibri" w:cs="Calibri"/>
          <w:b/>
          <w:bCs/>
          <w:kern w:val="0"/>
          <w14:ligatures w14:val="none"/>
        </w:rPr>
        <w:t>Fifth Freedom</w:t>
      </w:r>
      <w:r w:rsidRPr="00EC43F7">
        <w:rPr>
          <w:rFonts w:ascii="Calibri" w:eastAsia="Calibri" w:hAnsi="Calibri" w:cs="Calibri"/>
          <w:kern w:val="0"/>
          <w14:ligatures w14:val="none"/>
        </w:rPr>
        <w:t xml:space="preserve"> (where knowledge, researchers and technology can move freely)  it is therefore essential to identify the gaps and strengths and examine where the capabilities of Research Managers </w:t>
      </w:r>
      <w:r w:rsidRPr="00EC43F7">
        <w:rPr>
          <w:rFonts w:ascii="Calibri" w:eastAsia="Calibri" w:hAnsi="Calibri" w:cs="Calibri"/>
          <w:kern w:val="0"/>
          <w14:ligatures w14:val="none"/>
        </w:rPr>
        <w:lastRenderedPageBreak/>
        <w:t xml:space="preserve">overlap, across, between, and within sectors, enabling them to play a pivotal role in supporting Europe’s efforts to improve R&amp;D results in the developing and critical area of defence research.  </w:t>
      </w:r>
    </w:p>
    <w:p w14:paraId="382B2806" w14:textId="77777777" w:rsidR="00EC43F7" w:rsidRPr="00EC43F7" w:rsidRDefault="00EC43F7" w:rsidP="00EC43F7">
      <w:pPr>
        <w:spacing w:line="360" w:lineRule="auto"/>
        <w:jc w:val="both"/>
        <w:rPr>
          <w:rFonts w:ascii="Calibri" w:eastAsia="Calibri" w:hAnsi="Calibri" w:cs="Calibri"/>
          <w:kern w:val="0"/>
          <w14:ligatures w14:val="none"/>
        </w:rPr>
      </w:pPr>
    </w:p>
    <w:p w14:paraId="6AAB3F2D" w14:textId="77777777" w:rsidR="00EC43F7" w:rsidRPr="00EC43F7" w:rsidRDefault="00EC43F7" w:rsidP="00EC43F7">
      <w:pPr>
        <w:keepNext/>
        <w:keepLines/>
        <w:spacing w:before="40" w:after="40" w:line="360" w:lineRule="auto"/>
        <w:outlineLvl w:val="2"/>
        <w:rPr>
          <w:rFonts w:ascii="Calibri" w:eastAsia="Times New Roman" w:hAnsi="Calibri" w:cs="Calibri"/>
          <w:b/>
          <w:color w:val="000000"/>
          <w:kern w:val="0"/>
          <w:szCs w:val="24"/>
          <w14:ligatures w14:val="none"/>
        </w:rPr>
      </w:pPr>
      <w:bookmarkStart w:id="3" w:name="_Toc224123529"/>
      <w:r w:rsidRPr="00EC43F7">
        <w:rPr>
          <w:rFonts w:ascii="Calibri" w:eastAsia="Times New Roman" w:hAnsi="Calibri" w:cs="Calibri"/>
          <w:b/>
          <w:color w:val="000000"/>
          <w:kern w:val="0"/>
          <w:szCs w:val="24"/>
          <w14:ligatures w14:val="none"/>
        </w:rPr>
        <w:t>Policy Options and Suggestions</w:t>
      </w:r>
      <w:bookmarkEnd w:id="3"/>
    </w:p>
    <w:p w14:paraId="46A388C0" w14:textId="77777777" w:rsidR="00EC43F7" w:rsidRPr="00EC43F7" w:rsidRDefault="00EC43F7" w:rsidP="00EC43F7">
      <w:p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The intention of this brief is to highlight the need to develop new and unique pathways through current fragmented policy pillars. These pathways will not only enable the EU but will also empower Europe’s Research Managers. The ultimate rationale is to garner Research Management professionally to support the wider European Union mission as the “EU faces multiple and unprecedented challenges” through excellence in Research Management as “science, technology and innovation are crucial to reduce Europe’s vulnerabilities and to unlock its full potential”.  As “security and resilience can become a driver for competitiveness and innovation” then the interoperability, mobility and training of Research Managers (who are integral to that drive for competitiveness and innovation) across all R&amp;D domains is of vital importance.</w:t>
      </w:r>
    </w:p>
    <w:p w14:paraId="0AC1FAB4" w14:textId="77777777" w:rsidR="00EC43F7" w:rsidRPr="00EC43F7" w:rsidRDefault="00EC43F7" w:rsidP="00EC43F7">
      <w:pPr>
        <w:spacing w:line="360" w:lineRule="auto"/>
        <w:jc w:val="both"/>
        <w:rPr>
          <w:rFonts w:ascii="Calibri" w:eastAsia="Calibri" w:hAnsi="Calibri" w:cs="Calibri"/>
          <w:kern w:val="0"/>
          <w14:ligatures w14:val="none"/>
        </w:rPr>
      </w:pPr>
    </w:p>
    <w:p w14:paraId="4EBB93C5" w14:textId="77777777" w:rsidR="00EC43F7" w:rsidRPr="00EC43F7" w:rsidRDefault="00EC43F7" w:rsidP="00EC43F7">
      <w:pPr>
        <w:keepNext/>
        <w:keepLines/>
        <w:spacing w:before="40" w:after="40" w:line="360" w:lineRule="auto"/>
        <w:outlineLvl w:val="2"/>
        <w:rPr>
          <w:rFonts w:ascii="Calibri" w:eastAsia="Times New Roman" w:hAnsi="Calibri" w:cs="Calibri"/>
          <w:b/>
          <w:color w:val="000000"/>
          <w:kern w:val="0"/>
          <w:szCs w:val="24"/>
          <w:lang w:val="pl-PL"/>
          <w14:ligatures w14:val="none"/>
        </w:rPr>
      </w:pPr>
      <w:bookmarkStart w:id="4" w:name="_Toc224123530"/>
      <w:r w:rsidRPr="00EC43F7">
        <w:rPr>
          <w:rFonts w:ascii="Calibri" w:eastAsia="Times New Roman" w:hAnsi="Calibri" w:cs="Calibri"/>
          <w:b/>
          <w:color w:val="000000"/>
          <w:kern w:val="0"/>
          <w:szCs w:val="24"/>
          <w:lang w:val="pl-PL"/>
          <w14:ligatures w14:val="none"/>
        </w:rPr>
        <w:t>Recommendations</w:t>
      </w:r>
      <w:bookmarkEnd w:id="4"/>
    </w:p>
    <w:p w14:paraId="0D20D83E" w14:textId="77777777" w:rsidR="00EC43F7" w:rsidRPr="00EC43F7" w:rsidRDefault="00EC43F7" w:rsidP="00EC43F7">
      <w:pPr>
        <w:numPr>
          <w:ilvl w:val="0"/>
          <w:numId w:val="1"/>
        </w:num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Continue addressing Research Management through existing ERA actions, sector-specific initiatives, and project-based coordination, without introducing new cross-sector structures or formal integration mechanisms.</w:t>
      </w:r>
    </w:p>
    <w:p w14:paraId="401476AD" w14:textId="77777777" w:rsidR="00EC43F7" w:rsidRPr="00EC43F7" w:rsidRDefault="00EC43F7" w:rsidP="00EC43F7">
      <w:pPr>
        <w:numPr>
          <w:ilvl w:val="0"/>
          <w:numId w:val="1"/>
        </w:num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Improve recognition of Research Management as a distinct profession through coordinated policy messaging, institutional guidance, and structured engagement across Member States and sectors.</w:t>
      </w:r>
    </w:p>
    <w:p w14:paraId="6C198E81" w14:textId="77777777" w:rsidR="00EC43F7" w:rsidRPr="00EC43F7" w:rsidRDefault="00EC43F7" w:rsidP="00EC43F7">
      <w:pPr>
        <w:numPr>
          <w:ilvl w:val="0"/>
          <w:numId w:val="1"/>
        </w:num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Support the development of Research management frameworks, career pathways, and training provision based on RM Comp and the RM1-RM4 classification, adapted to Defence R&amp;D contexts to reflect sector-specific operational and security requirements.</w:t>
      </w:r>
    </w:p>
    <w:p w14:paraId="2B7CEBE4" w14:textId="77777777" w:rsidR="00EC43F7" w:rsidRPr="00EC43F7" w:rsidRDefault="00EC43F7" w:rsidP="00EC43F7">
      <w:pPr>
        <w:numPr>
          <w:ilvl w:val="0"/>
          <w:numId w:val="1"/>
        </w:num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Adopt a phased approach that initially builds comparative evidence base on Research Management roles, practices, training, and career pathways in Defence R&amp;D, and then utilises this evidence to align and adapt ERA frameworks across sectors.</w:t>
      </w:r>
    </w:p>
    <w:p w14:paraId="72725B92" w14:textId="77777777" w:rsidR="00EC43F7" w:rsidRPr="00EC43F7" w:rsidRDefault="00EC43F7" w:rsidP="00EC43F7">
      <w:pPr>
        <w:numPr>
          <w:ilvl w:val="0"/>
          <w:numId w:val="1"/>
        </w:num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Undertake a structured mapping of existing training provision for Research Managers across civilian and Defence R&amp;D sectors, with a view to improving transparency, comparability, and access.</w:t>
      </w:r>
    </w:p>
    <w:p w14:paraId="282FF6C3" w14:textId="77777777" w:rsidR="00EC43F7" w:rsidRPr="00EC43F7" w:rsidRDefault="00EC43F7" w:rsidP="00EC43F7">
      <w:pPr>
        <w:numPr>
          <w:ilvl w:val="0"/>
          <w:numId w:val="1"/>
        </w:num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lastRenderedPageBreak/>
        <w:t>Encourage gradual alignment between Defence R&amp;D staff practices and ERA frameworks, focusing on areas where interoperability is feasible while recognising sector-specific constraints.</w:t>
      </w:r>
    </w:p>
    <w:p w14:paraId="531A6118" w14:textId="77777777" w:rsidR="00EC43F7" w:rsidRPr="00EC43F7" w:rsidRDefault="00EC43F7" w:rsidP="00EC43F7">
      <w:pPr>
        <w:numPr>
          <w:ilvl w:val="0"/>
          <w:numId w:val="1"/>
        </w:num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Establish an ERA RM Networking &amp; Mobility Cluster by coordinating and amplifying existing national RM networks; support countries/sectors with low networking intensity (e.g. Bulgaria, Greece, Sweden, Finland, Hungary, Cyprus, Estonia, etc.).</w:t>
      </w:r>
    </w:p>
    <w:p w14:paraId="360BAFC9" w14:textId="77777777" w:rsidR="00EC43F7" w:rsidRPr="00EC43F7" w:rsidRDefault="00EC43F7" w:rsidP="00EC43F7">
      <w:pPr>
        <w:numPr>
          <w:ilvl w:val="0"/>
          <w:numId w:val="1"/>
        </w:num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 xml:space="preserve">Launch a European </w:t>
      </w:r>
      <w:proofErr w:type="spellStart"/>
      <w:r w:rsidRPr="00EC43F7">
        <w:rPr>
          <w:rFonts w:ascii="Calibri" w:eastAsia="Calibri" w:hAnsi="Calibri" w:cs="Calibri"/>
          <w:kern w:val="0"/>
          <w14:ligatures w14:val="none"/>
        </w:rPr>
        <w:t>MicroMobility</w:t>
      </w:r>
      <w:proofErr w:type="spellEnd"/>
      <w:r w:rsidRPr="00EC43F7">
        <w:rPr>
          <w:rFonts w:ascii="Calibri" w:eastAsia="Calibri" w:hAnsi="Calibri" w:cs="Calibri"/>
          <w:kern w:val="0"/>
          <w14:ligatures w14:val="none"/>
        </w:rPr>
        <w:t xml:space="preserve"> Scheme (EMS-RM); fund micro-mobility (5–20 working days) tied to specific, competency-based learning outcomes (linked to </w:t>
      </w:r>
      <w:proofErr w:type="spellStart"/>
      <w:r w:rsidRPr="00EC43F7">
        <w:rPr>
          <w:rFonts w:ascii="Calibri" w:eastAsia="Calibri" w:hAnsi="Calibri" w:cs="Calibri"/>
          <w:kern w:val="0"/>
          <w14:ligatures w14:val="none"/>
        </w:rPr>
        <w:t>RMComp</w:t>
      </w:r>
      <w:proofErr w:type="spellEnd"/>
      <w:r w:rsidRPr="00EC43F7">
        <w:rPr>
          <w:rFonts w:ascii="Calibri" w:eastAsia="Calibri" w:hAnsi="Calibri" w:cs="Calibri"/>
          <w:kern w:val="0"/>
          <w14:ligatures w14:val="none"/>
        </w:rPr>
        <w:t>).</w:t>
      </w:r>
    </w:p>
    <w:p w14:paraId="7963723B" w14:textId="77777777" w:rsidR="00EC43F7" w:rsidRPr="00EC43F7" w:rsidRDefault="00EC43F7" w:rsidP="00EC43F7">
      <w:pPr>
        <w:numPr>
          <w:ilvl w:val="0"/>
          <w:numId w:val="1"/>
        </w:numPr>
        <w:spacing w:line="360" w:lineRule="auto"/>
        <w:jc w:val="both"/>
        <w:rPr>
          <w:rFonts w:ascii="Calibri" w:eastAsia="Calibri" w:hAnsi="Calibri" w:cs="Calibri"/>
          <w:kern w:val="0"/>
          <w14:ligatures w14:val="none"/>
        </w:rPr>
      </w:pPr>
      <w:r w:rsidRPr="00EC43F7">
        <w:rPr>
          <w:rFonts w:ascii="Calibri" w:eastAsia="Calibri" w:hAnsi="Calibri" w:cs="Calibri"/>
          <w:kern w:val="0"/>
          <w14:ligatures w14:val="none"/>
        </w:rPr>
        <w:t>Analyse the flow of qualified refugees as a promising source of RMs for EU academic institutions and companies, on a temporary basis</w:t>
      </w:r>
    </w:p>
    <w:p w14:paraId="772234D2" w14:textId="77777777" w:rsidR="00EC43F7" w:rsidRPr="00EC43F7" w:rsidRDefault="00EC43F7" w:rsidP="00EC43F7">
      <w:pPr>
        <w:spacing w:line="360" w:lineRule="auto"/>
        <w:jc w:val="both"/>
        <w:rPr>
          <w:rFonts w:ascii="Calibri" w:eastAsia="Calibri" w:hAnsi="Calibri" w:cs="Calibri"/>
          <w:kern w:val="0"/>
          <w14:ligatures w14:val="none"/>
        </w:rPr>
      </w:pPr>
    </w:p>
    <w:p w14:paraId="76515200" w14:textId="77777777" w:rsidR="00EC43F7" w:rsidRPr="00EC43F7" w:rsidRDefault="00EC43F7" w:rsidP="00EC43F7">
      <w:pPr>
        <w:spacing w:line="360" w:lineRule="auto"/>
        <w:jc w:val="both"/>
        <w:rPr>
          <w:rFonts w:ascii="Calibri" w:eastAsia="Calibri" w:hAnsi="Calibri" w:cs="Calibri"/>
          <w:kern w:val="0"/>
          <w14:ligatures w14:val="none"/>
        </w:rPr>
      </w:pPr>
    </w:p>
    <w:p w14:paraId="28C3B1A1" w14:textId="393D7041" w:rsidR="00EC43F7" w:rsidRPr="00EC43F7" w:rsidRDefault="00D1646F" w:rsidP="00EC43F7">
      <w:pPr>
        <w:spacing w:line="360" w:lineRule="auto"/>
        <w:jc w:val="both"/>
        <w:rPr>
          <w:rFonts w:ascii="Calibri" w:eastAsia="Calibri" w:hAnsi="Calibri" w:cs="Calibri"/>
          <w:kern w:val="0"/>
          <w14:ligatures w14:val="none"/>
        </w:rPr>
      </w:pPr>
      <w:r>
        <w:rPr>
          <w:rFonts w:ascii="Calibri" w:eastAsia="Calibri" w:hAnsi="Calibri" w:cs="Calibri"/>
          <w:noProof/>
          <w:kern w:val="0"/>
        </w:rPr>
        <w:drawing>
          <wp:inline distT="0" distB="0" distL="0" distR="0" wp14:anchorId="050852EC" wp14:editId="0F7707DC">
            <wp:extent cx="5760720" cy="3707130"/>
            <wp:effectExtent l="0" t="0" r="0" b="7620"/>
            <wp:docPr id="13417785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78558" name="Picture 1341778558"/>
                    <pic:cNvPicPr/>
                  </pic:nvPicPr>
                  <pic:blipFill>
                    <a:blip r:embed="rId5">
                      <a:extLst>
                        <a:ext uri="{28A0092B-C50C-407E-A947-70E740481C1C}">
                          <a14:useLocalDpi xmlns:a14="http://schemas.microsoft.com/office/drawing/2010/main" val="0"/>
                        </a:ext>
                      </a:extLst>
                    </a:blip>
                    <a:stretch>
                      <a:fillRect/>
                    </a:stretch>
                  </pic:blipFill>
                  <pic:spPr>
                    <a:xfrm>
                      <a:off x="0" y="0"/>
                      <a:ext cx="5760720" cy="3707130"/>
                    </a:xfrm>
                    <a:prstGeom prst="rect">
                      <a:avLst/>
                    </a:prstGeom>
                  </pic:spPr>
                </pic:pic>
              </a:graphicData>
            </a:graphic>
          </wp:inline>
        </w:drawing>
      </w:r>
    </w:p>
    <w:p w14:paraId="46D121B8" w14:textId="77777777" w:rsidR="00FE59B3" w:rsidRDefault="00FE59B3">
      <w:pPr>
        <w:rPr>
          <w:noProof/>
        </w:rPr>
      </w:pPr>
    </w:p>
    <w:p w14:paraId="16EFB5F0" w14:textId="77777777" w:rsidR="00FE59B3" w:rsidRDefault="00FE59B3">
      <w:pPr>
        <w:rPr>
          <w:noProof/>
        </w:rPr>
      </w:pPr>
    </w:p>
    <w:p w14:paraId="3F023B19" w14:textId="77777777" w:rsidR="00FE59B3" w:rsidRDefault="00FE59B3">
      <w:pPr>
        <w:rPr>
          <w:noProof/>
        </w:rPr>
      </w:pPr>
    </w:p>
    <w:p w14:paraId="0833D023" w14:textId="77777777" w:rsidR="00FE59B3" w:rsidRDefault="00FE59B3">
      <w:pPr>
        <w:rPr>
          <w:noProof/>
        </w:rPr>
      </w:pPr>
    </w:p>
    <w:p w14:paraId="30AA4DFE" w14:textId="77777777" w:rsidR="00FE59B3" w:rsidRDefault="00FE59B3">
      <w:pPr>
        <w:rPr>
          <w:noProof/>
        </w:rPr>
      </w:pPr>
    </w:p>
    <w:p w14:paraId="6CA27AD0" w14:textId="6EC75B6B" w:rsidR="00FE59B3" w:rsidRPr="00644FAD" w:rsidRDefault="00644FAD">
      <w:pPr>
        <w:rPr>
          <w:b/>
          <w:bCs/>
          <w:noProof/>
        </w:rPr>
      </w:pPr>
      <w:r w:rsidRPr="00644FAD">
        <w:rPr>
          <w:b/>
          <w:bCs/>
          <w:noProof/>
        </w:rPr>
        <w:t>Bibliography</w:t>
      </w:r>
    </w:p>
    <w:p w14:paraId="32F1D4A7" w14:textId="33502200" w:rsidR="00A504EB" w:rsidRPr="00A504EB" w:rsidRDefault="00A504EB" w:rsidP="00A504EB">
      <w:pPr>
        <w:spacing w:after="0" w:line="240" w:lineRule="auto"/>
        <w:rPr>
          <w:rFonts w:ascii="Times New Roman" w:eastAsia="Times New Roman" w:hAnsi="Times New Roman" w:cs="Times New Roman"/>
          <w:kern w:val="0"/>
          <w:sz w:val="24"/>
          <w:szCs w:val="24"/>
          <w:lang w:eastAsia="en-IE"/>
          <w14:ligatures w14:val="none"/>
        </w:rPr>
      </w:pPr>
      <w:hyperlink r:id="rId6" w:tgtFrame="_new" w:history="1">
        <w:r w:rsidRPr="00A504EB">
          <w:rPr>
            <w:rFonts w:ascii="Times New Roman" w:eastAsia="Times New Roman" w:hAnsi="Times New Roman" w:cs="Times New Roman"/>
            <w:color w:val="0000FF"/>
            <w:kern w:val="0"/>
            <w:sz w:val="24"/>
            <w:szCs w:val="24"/>
            <w:u w:val="single"/>
            <w:lang w:eastAsia="en-IE"/>
            <w14:ligatures w14:val="none"/>
          </w:rPr>
          <w:t>The Draghi Report on EU Competitiveness</w:t>
        </w:r>
      </w:hyperlink>
      <w:r w:rsidRPr="00A504EB">
        <w:rPr>
          <w:rFonts w:ascii="Times New Roman" w:eastAsia="Times New Roman" w:hAnsi="Times New Roman" w:cs="Times New Roman"/>
          <w:kern w:val="0"/>
          <w:sz w:val="24"/>
          <w:szCs w:val="24"/>
          <w:lang w:eastAsia="en-IE"/>
          <w14:ligatures w14:val="none"/>
        </w:rPr>
        <w:t xml:space="preserve"> </w:t>
      </w:r>
    </w:p>
    <w:p w14:paraId="4961451C" w14:textId="01B687F0" w:rsidR="00A504EB" w:rsidRPr="00A504EB" w:rsidRDefault="00DB5DA4" w:rsidP="00A504EB">
      <w:pPr>
        <w:spacing w:after="0" w:line="240" w:lineRule="auto"/>
        <w:rPr>
          <w:rFonts w:ascii="Times New Roman" w:eastAsia="Times New Roman" w:hAnsi="Times New Roman" w:cs="Times New Roman"/>
          <w:kern w:val="0"/>
          <w:sz w:val="24"/>
          <w:szCs w:val="24"/>
          <w:lang w:eastAsia="en-IE"/>
          <w14:ligatures w14:val="none"/>
        </w:rPr>
      </w:pPr>
      <w:hyperlink r:id="rId7" w:history="1">
        <w:r w:rsidR="00A504EB" w:rsidRPr="00A504EB">
          <w:rPr>
            <w:rStyle w:val="Hyperlink"/>
            <w:rFonts w:ascii="Times New Roman" w:eastAsia="Times New Roman" w:hAnsi="Times New Roman" w:cs="Times New Roman"/>
            <w:kern w:val="0"/>
            <w:sz w:val="24"/>
            <w:szCs w:val="24"/>
            <w:lang w:eastAsia="en-IE"/>
            <w14:ligatures w14:val="none"/>
          </w:rPr>
          <w:t>Much More Than a Market – Report by Enrico Letta</w:t>
        </w:r>
      </w:hyperlink>
      <w:r w:rsidR="00A504EB" w:rsidRPr="00A504EB">
        <w:rPr>
          <w:rFonts w:ascii="Times New Roman" w:eastAsia="Times New Roman" w:hAnsi="Times New Roman" w:cs="Times New Roman"/>
          <w:kern w:val="0"/>
          <w:sz w:val="24"/>
          <w:szCs w:val="24"/>
          <w:lang w:eastAsia="en-IE"/>
          <w14:ligatures w14:val="none"/>
        </w:rPr>
        <w:t xml:space="preserve"> </w:t>
      </w:r>
    </w:p>
    <w:p w14:paraId="49F74B18" w14:textId="413A60AC" w:rsidR="00FE59B3" w:rsidRDefault="00355CCD" w:rsidP="00A504EB">
      <w:hyperlink r:id="rId8" w:history="1">
        <w:r w:rsidR="00A504EB" w:rsidRPr="00355CCD">
          <w:rPr>
            <w:rStyle w:val="Hyperlink"/>
            <w:rFonts w:ascii="Times New Roman" w:eastAsia="Times New Roman" w:hAnsi="Times New Roman" w:cs="Times New Roman"/>
            <w:kern w:val="0"/>
            <w:sz w:val="24"/>
            <w:szCs w:val="24"/>
            <w:lang w:eastAsia="en-IE"/>
            <w14:ligatures w14:val="none"/>
          </w:rPr>
          <w:t>Align, Act, Accelerate – Publications Office of the European Union</w:t>
        </w:r>
      </w:hyperlink>
    </w:p>
    <w:sectPr w:rsidR="00FE59B3" w:rsidSect="00EC43F7">
      <w:foot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945105"/>
      <w:docPartObj>
        <w:docPartGallery w:val="Page Numbers (Bottom of Page)"/>
        <w:docPartUnique/>
      </w:docPartObj>
    </w:sdtPr>
    <w:sdtEndPr>
      <w:rPr>
        <w:rFonts w:ascii="Calibri" w:hAnsi="Calibri"/>
      </w:rPr>
    </w:sdtEndPr>
    <w:sdtContent>
      <w:p w14:paraId="7682290E" w14:textId="77777777" w:rsidR="00EC43F7" w:rsidRPr="00EC43F7" w:rsidRDefault="00EC43F7">
        <w:pPr>
          <w:pStyle w:val="Footer"/>
          <w:jc w:val="center"/>
          <w:rPr>
            <w:rFonts w:ascii="Calibri" w:hAnsi="Calibri"/>
          </w:rPr>
        </w:pPr>
        <w:r w:rsidRPr="00EC43F7">
          <w:rPr>
            <w:rFonts w:ascii="Calibri" w:hAnsi="Calibri"/>
          </w:rPr>
          <w:fldChar w:fldCharType="begin"/>
        </w:r>
        <w:r w:rsidRPr="00EC43F7">
          <w:rPr>
            <w:rFonts w:ascii="Calibri" w:hAnsi="Calibri"/>
          </w:rPr>
          <w:instrText xml:space="preserve"> PAGE   \* MERGEFORMAT </w:instrText>
        </w:r>
        <w:r w:rsidRPr="00EC43F7">
          <w:rPr>
            <w:rFonts w:ascii="Calibri" w:hAnsi="Calibri"/>
          </w:rPr>
          <w:fldChar w:fldCharType="separate"/>
        </w:r>
        <w:r w:rsidRPr="00EC43F7">
          <w:rPr>
            <w:rFonts w:ascii="Calibri" w:hAnsi="Calibri"/>
          </w:rPr>
          <w:t>67</w:t>
        </w:r>
        <w:r w:rsidRPr="00EC43F7">
          <w:rPr>
            <w:rFonts w:ascii="Calibri" w:hAnsi="Calibri"/>
          </w:rPr>
          <w:fldChar w:fldCharType="end"/>
        </w:r>
      </w:p>
    </w:sdtContent>
  </w:sdt>
  <w:p w14:paraId="7A6DE76F" w14:textId="77777777" w:rsidR="00EC43F7" w:rsidRPr="00A3305C" w:rsidRDefault="00EC43F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2F3B"/>
    <w:multiLevelType w:val="hybridMultilevel"/>
    <w:tmpl w:val="34A2B188"/>
    <w:lvl w:ilvl="0" w:tplc="43A0A866">
      <w:start w:val="1"/>
      <w:numFmt w:val="bullet"/>
      <w:lvlText w:val=""/>
      <w:lvlJc w:val="left"/>
      <w:pPr>
        <w:ind w:left="720" w:hanging="360"/>
      </w:pPr>
      <w:rPr>
        <w:rFonts w:ascii="Symbol" w:hAnsi="Symbol" w:hint="default"/>
      </w:rPr>
    </w:lvl>
    <w:lvl w:ilvl="1" w:tplc="CA2C88A0">
      <w:start w:val="1"/>
      <w:numFmt w:val="bullet"/>
      <w:lvlText w:val="o"/>
      <w:lvlJc w:val="left"/>
      <w:pPr>
        <w:ind w:left="1440" w:hanging="360"/>
      </w:pPr>
      <w:rPr>
        <w:rFonts w:ascii="Courier New" w:hAnsi="Courier New" w:hint="default"/>
      </w:rPr>
    </w:lvl>
    <w:lvl w:ilvl="2" w:tplc="D4507E9A">
      <w:start w:val="1"/>
      <w:numFmt w:val="bullet"/>
      <w:lvlText w:val=""/>
      <w:lvlJc w:val="left"/>
      <w:pPr>
        <w:ind w:left="2160" w:hanging="360"/>
      </w:pPr>
      <w:rPr>
        <w:rFonts w:ascii="Wingdings" w:hAnsi="Wingdings" w:hint="default"/>
      </w:rPr>
    </w:lvl>
    <w:lvl w:ilvl="3" w:tplc="533C9288">
      <w:start w:val="1"/>
      <w:numFmt w:val="bullet"/>
      <w:lvlText w:val=""/>
      <w:lvlJc w:val="left"/>
      <w:pPr>
        <w:ind w:left="2880" w:hanging="360"/>
      </w:pPr>
      <w:rPr>
        <w:rFonts w:ascii="Symbol" w:hAnsi="Symbol" w:hint="default"/>
      </w:rPr>
    </w:lvl>
    <w:lvl w:ilvl="4" w:tplc="F22C46D2">
      <w:start w:val="1"/>
      <w:numFmt w:val="bullet"/>
      <w:lvlText w:val="o"/>
      <w:lvlJc w:val="left"/>
      <w:pPr>
        <w:ind w:left="3600" w:hanging="360"/>
      </w:pPr>
      <w:rPr>
        <w:rFonts w:ascii="Courier New" w:hAnsi="Courier New" w:hint="default"/>
      </w:rPr>
    </w:lvl>
    <w:lvl w:ilvl="5" w:tplc="42C6FDD2">
      <w:start w:val="1"/>
      <w:numFmt w:val="bullet"/>
      <w:lvlText w:val=""/>
      <w:lvlJc w:val="left"/>
      <w:pPr>
        <w:ind w:left="4320" w:hanging="360"/>
      </w:pPr>
      <w:rPr>
        <w:rFonts w:ascii="Wingdings" w:hAnsi="Wingdings" w:hint="default"/>
      </w:rPr>
    </w:lvl>
    <w:lvl w:ilvl="6" w:tplc="0D5CC45C">
      <w:start w:val="1"/>
      <w:numFmt w:val="bullet"/>
      <w:lvlText w:val=""/>
      <w:lvlJc w:val="left"/>
      <w:pPr>
        <w:ind w:left="5040" w:hanging="360"/>
      </w:pPr>
      <w:rPr>
        <w:rFonts w:ascii="Symbol" w:hAnsi="Symbol" w:hint="default"/>
      </w:rPr>
    </w:lvl>
    <w:lvl w:ilvl="7" w:tplc="856CE73E">
      <w:start w:val="1"/>
      <w:numFmt w:val="bullet"/>
      <w:lvlText w:val="o"/>
      <w:lvlJc w:val="left"/>
      <w:pPr>
        <w:ind w:left="5760" w:hanging="360"/>
      </w:pPr>
      <w:rPr>
        <w:rFonts w:ascii="Courier New" w:hAnsi="Courier New" w:hint="default"/>
      </w:rPr>
    </w:lvl>
    <w:lvl w:ilvl="8" w:tplc="CDB89C1E">
      <w:start w:val="1"/>
      <w:numFmt w:val="bullet"/>
      <w:lvlText w:val=""/>
      <w:lvlJc w:val="left"/>
      <w:pPr>
        <w:ind w:left="6480" w:hanging="360"/>
      </w:pPr>
      <w:rPr>
        <w:rFonts w:ascii="Wingdings" w:hAnsi="Wingdings" w:hint="default"/>
      </w:rPr>
    </w:lvl>
  </w:abstractNum>
  <w:abstractNum w:abstractNumId="1" w15:restartNumberingAfterBreak="0">
    <w:nsid w:val="20B2AB9B"/>
    <w:multiLevelType w:val="hybridMultilevel"/>
    <w:tmpl w:val="8C12F58A"/>
    <w:lvl w:ilvl="0" w:tplc="302C5E7C">
      <w:start w:val="1"/>
      <w:numFmt w:val="bullet"/>
      <w:lvlText w:val=""/>
      <w:lvlJc w:val="left"/>
      <w:pPr>
        <w:ind w:left="720" w:hanging="360"/>
      </w:pPr>
      <w:rPr>
        <w:rFonts w:ascii="Symbol" w:hAnsi="Symbol" w:hint="default"/>
      </w:rPr>
    </w:lvl>
    <w:lvl w:ilvl="1" w:tplc="52003838">
      <w:start w:val="1"/>
      <w:numFmt w:val="bullet"/>
      <w:lvlText w:val="o"/>
      <w:lvlJc w:val="left"/>
      <w:pPr>
        <w:ind w:left="1440" w:hanging="360"/>
      </w:pPr>
      <w:rPr>
        <w:rFonts w:ascii="Courier New" w:hAnsi="Courier New" w:hint="default"/>
      </w:rPr>
    </w:lvl>
    <w:lvl w:ilvl="2" w:tplc="30B2AA12">
      <w:start w:val="1"/>
      <w:numFmt w:val="bullet"/>
      <w:lvlText w:val=""/>
      <w:lvlJc w:val="left"/>
      <w:pPr>
        <w:ind w:left="2160" w:hanging="360"/>
      </w:pPr>
      <w:rPr>
        <w:rFonts w:ascii="Wingdings" w:hAnsi="Wingdings" w:hint="default"/>
      </w:rPr>
    </w:lvl>
    <w:lvl w:ilvl="3" w:tplc="0DD89158">
      <w:start w:val="1"/>
      <w:numFmt w:val="bullet"/>
      <w:lvlText w:val=""/>
      <w:lvlJc w:val="left"/>
      <w:pPr>
        <w:ind w:left="2880" w:hanging="360"/>
      </w:pPr>
      <w:rPr>
        <w:rFonts w:ascii="Symbol" w:hAnsi="Symbol" w:hint="default"/>
      </w:rPr>
    </w:lvl>
    <w:lvl w:ilvl="4" w:tplc="88082EC8">
      <w:start w:val="1"/>
      <w:numFmt w:val="bullet"/>
      <w:lvlText w:val="o"/>
      <w:lvlJc w:val="left"/>
      <w:pPr>
        <w:ind w:left="3600" w:hanging="360"/>
      </w:pPr>
      <w:rPr>
        <w:rFonts w:ascii="Courier New" w:hAnsi="Courier New" w:hint="default"/>
      </w:rPr>
    </w:lvl>
    <w:lvl w:ilvl="5" w:tplc="0B4E154E">
      <w:start w:val="1"/>
      <w:numFmt w:val="bullet"/>
      <w:lvlText w:val=""/>
      <w:lvlJc w:val="left"/>
      <w:pPr>
        <w:ind w:left="4320" w:hanging="360"/>
      </w:pPr>
      <w:rPr>
        <w:rFonts w:ascii="Wingdings" w:hAnsi="Wingdings" w:hint="default"/>
      </w:rPr>
    </w:lvl>
    <w:lvl w:ilvl="6" w:tplc="8F1EF5FE">
      <w:start w:val="1"/>
      <w:numFmt w:val="bullet"/>
      <w:lvlText w:val=""/>
      <w:lvlJc w:val="left"/>
      <w:pPr>
        <w:ind w:left="5040" w:hanging="360"/>
      </w:pPr>
      <w:rPr>
        <w:rFonts w:ascii="Symbol" w:hAnsi="Symbol" w:hint="default"/>
      </w:rPr>
    </w:lvl>
    <w:lvl w:ilvl="7" w:tplc="C0945F52">
      <w:start w:val="1"/>
      <w:numFmt w:val="bullet"/>
      <w:lvlText w:val="o"/>
      <w:lvlJc w:val="left"/>
      <w:pPr>
        <w:ind w:left="5760" w:hanging="360"/>
      </w:pPr>
      <w:rPr>
        <w:rFonts w:ascii="Courier New" w:hAnsi="Courier New" w:hint="default"/>
      </w:rPr>
    </w:lvl>
    <w:lvl w:ilvl="8" w:tplc="675C930E">
      <w:start w:val="1"/>
      <w:numFmt w:val="bullet"/>
      <w:lvlText w:val=""/>
      <w:lvlJc w:val="left"/>
      <w:pPr>
        <w:ind w:left="6480" w:hanging="360"/>
      </w:pPr>
      <w:rPr>
        <w:rFonts w:ascii="Wingdings" w:hAnsi="Wingdings" w:hint="default"/>
      </w:rPr>
    </w:lvl>
  </w:abstractNum>
  <w:num w:numId="1" w16cid:durableId="229268632">
    <w:abstractNumId w:val="0"/>
  </w:num>
  <w:num w:numId="2" w16cid:durableId="185456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F7"/>
    <w:rsid w:val="000E39AA"/>
    <w:rsid w:val="001C57EB"/>
    <w:rsid w:val="00355CCD"/>
    <w:rsid w:val="00644FAD"/>
    <w:rsid w:val="00932E87"/>
    <w:rsid w:val="00A504EB"/>
    <w:rsid w:val="00C017AF"/>
    <w:rsid w:val="00D1646F"/>
    <w:rsid w:val="00DB5DA4"/>
    <w:rsid w:val="00E532F6"/>
    <w:rsid w:val="00EC43F7"/>
    <w:rsid w:val="00FE59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E512"/>
  <w15:chartTrackingRefBased/>
  <w15:docId w15:val="{2304F129-5D93-4D5F-8F4B-3125AF11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3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3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3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3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3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3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3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3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3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3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3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3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3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3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3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3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3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3F7"/>
    <w:rPr>
      <w:rFonts w:eastAsiaTheme="majorEastAsia" w:cstheme="majorBidi"/>
      <w:color w:val="272727" w:themeColor="text1" w:themeTint="D8"/>
    </w:rPr>
  </w:style>
  <w:style w:type="paragraph" w:styleId="Title">
    <w:name w:val="Title"/>
    <w:basedOn w:val="Normal"/>
    <w:next w:val="Normal"/>
    <w:link w:val="TitleChar"/>
    <w:uiPriority w:val="10"/>
    <w:qFormat/>
    <w:rsid w:val="00EC43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3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3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3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3F7"/>
    <w:pPr>
      <w:spacing w:before="160"/>
      <w:jc w:val="center"/>
    </w:pPr>
    <w:rPr>
      <w:i/>
      <w:iCs/>
      <w:color w:val="404040" w:themeColor="text1" w:themeTint="BF"/>
    </w:rPr>
  </w:style>
  <w:style w:type="character" w:customStyle="1" w:styleId="QuoteChar">
    <w:name w:val="Quote Char"/>
    <w:basedOn w:val="DefaultParagraphFont"/>
    <w:link w:val="Quote"/>
    <w:uiPriority w:val="29"/>
    <w:rsid w:val="00EC43F7"/>
    <w:rPr>
      <w:i/>
      <w:iCs/>
      <w:color w:val="404040" w:themeColor="text1" w:themeTint="BF"/>
    </w:rPr>
  </w:style>
  <w:style w:type="paragraph" w:styleId="ListParagraph">
    <w:name w:val="List Paragraph"/>
    <w:basedOn w:val="Normal"/>
    <w:uiPriority w:val="34"/>
    <w:qFormat/>
    <w:rsid w:val="00EC43F7"/>
    <w:pPr>
      <w:ind w:left="720"/>
      <w:contextualSpacing/>
    </w:pPr>
  </w:style>
  <w:style w:type="character" w:styleId="IntenseEmphasis">
    <w:name w:val="Intense Emphasis"/>
    <w:basedOn w:val="DefaultParagraphFont"/>
    <w:uiPriority w:val="21"/>
    <w:qFormat/>
    <w:rsid w:val="00EC43F7"/>
    <w:rPr>
      <w:i/>
      <w:iCs/>
      <w:color w:val="0F4761" w:themeColor="accent1" w:themeShade="BF"/>
    </w:rPr>
  </w:style>
  <w:style w:type="paragraph" w:styleId="IntenseQuote">
    <w:name w:val="Intense Quote"/>
    <w:basedOn w:val="Normal"/>
    <w:next w:val="Normal"/>
    <w:link w:val="IntenseQuoteChar"/>
    <w:uiPriority w:val="30"/>
    <w:qFormat/>
    <w:rsid w:val="00EC4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3F7"/>
    <w:rPr>
      <w:i/>
      <w:iCs/>
      <w:color w:val="0F4761" w:themeColor="accent1" w:themeShade="BF"/>
    </w:rPr>
  </w:style>
  <w:style w:type="character" w:styleId="IntenseReference">
    <w:name w:val="Intense Reference"/>
    <w:basedOn w:val="DefaultParagraphFont"/>
    <w:uiPriority w:val="32"/>
    <w:qFormat/>
    <w:rsid w:val="00EC43F7"/>
    <w:rPr>
      <w:b/>
      <w:bCs/>
      <w:smallCaps/>
      <w:color w:val="0F4761" w:themeColor="accent1" w:themeShade="BF"/>
      <w:spacing w:val="5"/>
    </w:rPr>
  </w:style>
  <w:style w:type="paragraph" w:styleId="Footer">
    <w:name w:val="footer"/>
    <w:basedOn w:val="Normal"/>
    <w:link w:val="FooterChar"/>
    <w:uiPriority w:val="99"/>
    <w:unhideWhenUsed/>
    <w:rsid w:val="00EC43F7"/>
    <w:pPr>
      <w:tabs>
        <w:tab w:val="center" w:pos="4513"/>
        <w:tab w:val="right" w:pos="9026"/>
      </w:tabs>
      <w:spacing w:after="0" w:line="240" w:lineRule="auto"/>
    </w:pPr>
    <w:rPr>
      <w:rFonts w:ascii="Bahnschrift Light SemiCondensed" w:hAnsi="Bahnschrift Light SemiCondensed" w:cs="Calibri"/>
      <w:kern w:val="0"/>
      <w:lang w:val="pl-PL"/>
      <w14:ligatures w14:val="none"/>
    </w:rPr>
  </w:style>
  <w:style w:type="character" w:customStyle="1" w:styleId="FooterChar">
    <w:name w:val="Footer Char"/>
    <w:basedOn w:val="DefaultParagraphFont"/>
    <w:link w:val="Footer"/>
    <w:uiPriority w:val="99"/>
    <w:rsid w:val="00EC43F7"/>
    <w:rPr>
      <w:rFonts w:ascii="Bahnschrift Light SemiCondensed" w:hAnsi="Bahnschrift Light SemiCondensed" w:cs="Calibri"/>
      <w:kern w:val="0"/>
      <w:lang w:val="pl-PL"/>
      <w14:ligatures w14:val="none"/>
    </w:rPr>
  </w:style>
  <w:style w:type="character" w:styleId="Hyperlink">
    <w:name w:val="Hyperlink"/>
    <w:basedOn w:val="DefaultParagraphFont"/>
    <w:uiPriority w:val="99"/>
    <w:unhideWhenUsed/>
    <w:rsid w:val="00DB5DA4"/>
    <w:rPr>
      <w:color w:val="467886" w:themeColor="hyperlink"/>
      <w:u w:val="single"/>
    </w:rPr>
  </w:style>
  <w:style w:type="character" w:styleId="UnresolvedMention">
    <w:name w:val="Unresolved Mention"/>
    <w:basedOn w:val="DefaultParagraphFont"/>
    <w:uiPriority w:val="99"/>
    <w:semiHidden/>
    <w:unhideWhenUsed/>
    <w:rsid w:val="00DB5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uropa.eu/en/publication-detail/-/publication/2f9fc221-86bb-11ef-a67d-01aa75ed71a1/language-en" TargetMode="External"/><Relationship Id="rId3" Type="http://schemas.openxmlformats.org/officeDocument/2006/relationships/settings" Target="settings.xml"/><Relationship Id="rId7" Type="http://schemas.openxmlformats.org/officeDocument/2006/relationships/hyperlink" Target="https://www.consilium.europa.eu/media/ny3j24sm/much-more-than-a-market-report-by-enrico-lett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ission.europa.eu/topics/eu-competitiveness/draghi-report_en?utm_source=chatgpt.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1628</Words>
  <Characters>9286</Characters>
  <Application>Microsoft Office Word</Application>
  <DocSecurity>0</DocSecurity>
  <Lines>77</Lines>
  <Paragraphs>21</Paragraphs>
  <ScaleCrop>false</ScaleCrop>
  <Company>University College Cork</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O'Regan (HR Business)</dc:creator>
  <cp:keywords/>
  <dc:description/>
  <cp:lastModifiedBy>Mary Kate O'Regan (HR Business)</cp:lastModifiedBy>
  <cp:revision>8</cp:revision>
  <dcterms:created xsi:type="dcterms:W3CDTF">2026-05-08T08:07:00Z</dcterms:created>
  <dcterms:modified xsi:type="dcterms:W3CDTF">2026-05-08T08:26:00Z</dcterms:modified>
</cp:coreProperties>
</file>