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E3E4" w14:textId="77777777" w:rsidR="00492460" w:rsidRPr="0033210B" w:rsidRDefault="00000000" w:rsidP="0033210B">
      <w:pPr>
        <w:jc w:val="both"/>
        <w:rPr>
          <w:rFonts w:ascii="Calibri" w:hAnsi="Calibri" w:cs="Calibri"/>
          <w:b/>
          <w:bCs/>
          <w:sz w:val="32"/>
          <w:szCs w:val="32"/>
        </w:rPr>
      </w:pPr>
      <w:bookmarkStart w:id="0" w:name="cardea-project-results"/>
      <w:r w:rsidRPr="0033210B">
        <w:rPr>
          <w:rFonts w:ascii="Calibri" w:hAnsi="Calibri" w:cs="Calibri"/>
          <w:b/>
          <w:bCs/>
          <w:sz w:val="32"/>
          <w:szCs w:val="32"/>
        </w:rPr>
        <w:t>CARDEA Project Results</w:t>
      </w:r>
    </w:p>
    <w:p w14:paraId="73B06C87" w14:textId="77777777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X67910a504d1c9bfd4a720bb839448c129a64905"/>
      <w:r w:rsidRPr="0033210B">
        <w:rPr>
          <w:rFonts w:ascii="Calibri" w:hAnsi="Calibri" w:cs="Calibri"/>
          <w:b/>
          <w:bCs/>
          <w:sz w:val="22"/>
          <w:szCs w:val="22"/>
        </w:rPr>
        <w:t>Supporting the Professionalisation of Research Management in Europe</w:t>
      </w:r>
    </w:p>
    <w:p w14:paraId="52407AEA" w14:textId="0AD24498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 xml:space="preserve">The CARDEA Project has made a significant contribution to the </w:t>
      </w:r>
      <w:r w:rsidR="00061D66" w:rsidRPr="0033210B">
        <w:rPr>
          <w:rFonts w:ascii="Calibri" w:hAnsi="Calibri" w:cs="Calibri"/>
          <w:sz w:val="22"/>
          <w:szCs w:val="22"/>
        </w:rPr>
        <w:t>career development</w:t>
      </w:r>
      <w:r w:rsidRPr="0033210B">
        <w:rPr>
          <w:rFonts w:ascii="Calibri" w:hAnsi="Calibri" w:cs="Calibri"/>
          <w:sz w:val="22"/>
          <w:szCs w:val="22"/>
        </w:rPr>
        <w:t xml:space="preserve"> of research </w:t>
      </w:r>
      <w:r w:rsidR="00061D66" w:rsidRPr="0033210B">
        <w:rPr>
          <w:rFonts w:ascii="Calibri" w:hAnsi="Calibri" w:cs="Calibri"/>
          <w:sz w:val="22"/>
          <w:szCs w:val="22"/>
        </w:rPr>
        <w:t>managers</w:t>
      </w:r>
      <w:r w:rsidRPr="0033210B">
        <w:rPr>
          <w:rFonts w:ascii="Calibri" w:hAnsi="Calibri" w:cs="Calibri"/>
          <w:sz w:val="22"/>
          <w:szCs w:val="22"/>
        </w:rPr>
        <w:t xml:space="preserve"> across the European Research Area (ERA). Working closely with European partners, policy officers and stakeholders, CARDEA has delivered practical and strategic </w:t>
      </w:r>
      <w:proofErr w:type="gramStart"/>
      <w:r w:rsidR="0033210B" w:rsidRPr="0033210B">
        <w:rPr>
          <w:rFonts w:ascii="Calibri" w:hAnsi="Calibri" w:cs="Calibri"/>
          <w:sz w:val="22"/>
          <w:szCs w:val="22"/>
        </w:rPr>
        <w:t>output</w:t>
      </w:r>
      <w:r w:rsidR="0033210B">
        <w:rPr>
          <w:rFonts w:ascii="Calibri" w:hAnsi="Calibri" w:cs="Calibri"/>
          <w:sz w:val="22"/>
          <w:szCs w:val="22"/>
        </w:rPr>
        <w:t>s</w:t>
      </w:r>
      <w:proofErr w:type="gramEnd"/>
      <w:r w:rsidRPr="0033210B">
        <w:rPr>
          <w:rFonts w:ascii="Calibri" w:hAnsi="Calibri" w:cs="Calibri"/>
          <w:sz w:val="22"/>
          <w:szCs w:val="22"/>
        </w:rPr>
        <w:t xml:space="preserve"> designed to strengthen research management as a </w:t>
      </w:r>
      <w:r w:rsidR="00061D66" w:rsidRPr="0033210B">
        <w:rPr>
          <w:rFonts w:ascii="Calibri" w:hAnsi="Calibri" w:cs="Calibri"/>
          <w:sz w:val="22"/>
          <w:szCs w:val="22"/>
        </w:rPr>
        <w:t>recognized</w:t>
      </w:r>
      <w:r w:rsidRPr="0033210B">
        <w:rPr>
          <w:rFonts w:ascii="Calibri" w:hAnsi="Calibri" w:cs="Calibri"/>
          <w:sz w:val="22"/>
          <w:szCs w:val="22"/>
        </w:rPr>
        <w:t xml:space="preserve"> and valued </w:t>
      </w:r>
      <w:r w:rsidR="00061D66" w:rsidRPr="0033210B">
        <w:rPr>
          <w:rFonts w:ascii="Calibri" w:hAnsi="Calibri" w:cs="Calibri"/>
          <w:sz w:val="22"/>
          <w:szCs w:val="22"/>
        </w:rPr>
        <w:t>career</w:t>
      </w:r>
      <w:r w:rsidRPr="0033210B">
        <w:rPr>
          <w:rFonts w:ascii="Calibri" w:hAnsi="Calibri" w:cs="Calibri"/>
          <w:sz w:val="22"/>
          <w:szCs w:val="22"/>
        </w:rPr>
        <w:t>.</w:t>
      </w:r>
    </w:p>
    <w:p w14:paraId="0EB8573A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 xml:space="preserve">The project aligns strongly with ERA Action 17 and its follow-on initiative, </w:t>
      </w:r>
      <w:r w:rsidRPr="0033210B">
        <w:rPr>
          <w:rFonts w:ascii="Calibri" w:hAnsi="Calibri" w:cs="Calibri"/>
          <w:i/>
          <w:iCs/>
          <w:sz w:val="22"/>
          <w:szCs w:val="22"/>
        </w:rPr>
        <w:t>A New Era in Research Management</w:t>
      </w:r>
      <w:r w:rsidRPr="0033210B">
        <w:rPr>
          <w:rFonts w:ascii="Calibri" w:hAnsi="Calibri" w:cs="Calibri"/>
          <w:sz w:val="22"/>
          <w:szCs w:val="22"/>
        </w:rPr>
        <w:t>, supporting the development, recognition and advancement of research management careers across Europe.</w:t>
      </w:r>
    </w:p>
    <w:p w14:paraId="2D2121C5" w14:textId="7B063F2D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 xml:space="preserve">CARDEA’s </w:t>
      </w:r>
      <w:proofErr w:type="gramStart"/>
      <w:r w:rsidRPr="0033210B">
        <w:rPr>
          <w:rFonts w:ascii="Calibri" w:hAnsi="Calibri" w:cs="Calibri"/>
          <w:sz w:val="22"/>
          <w:szCs w:val="22"/>
        </w:rPr>
        <w:t>outputs are</w:t>
      </w:r>
      <w:proofErr w:type="gramEnd"/>
      <w:r w:rsidRPr="0033210B">
        <w:rPr>
          <w:rFonts w:ascii="Calibri" w:hAnsi="Calibri" w:cs="Calibri"/>
          <w:sz w:val="22"/>
          <w:szCs w:val="22"/>
        </w:rPr>
        <w:t xml:space="preserve"> relevant not only to universities, but to all organisations involved in research and innovation, including public bodies, research institutes, industry and funding organisations.</w:t>
      </w:r>
    </w:p>
    <w:p w14:paraId="6B193B36" w14:textId="77777777" w:rsidR="00492460" w:rsidRPr="0033210B" w:rsidRDefault="00000000" w:rsidP="0033210B">
      <w:pPr>
        <w:jc w:val="both"/>
        <w:rPr>
          <w:rFonts w:ascii="Calibri" w:hAnsi="Calibri" w:cs="Calibri"/>
          <w:b/>
          <w:bCs/>
        </w:rPr>
      </w:pPr>
      <w:bookmarkStart w:id="2" w:name="key-results-from-the-cardea-project"/>
      <w:bookmarkEnd w:id="0"/>
      <w:bookmarkEnd w:id="1"/>
      <w:r w:rsidRPr="0033210B">
        <w:rPr>
          <w:rFonts w:ascii="Calibri" w:hAnsi="Calibri" w:cs="Calibri"/>
          <w:b/>
          <w:bCs/>
        </w:rPr>
        <w:t>Key Results from the CARDEA Project</w:t>
      </w:r>
    </w:p>
    <w:p w14:paraId="42016CBF" w14:textId="347BABDA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X06dbfc33ee4b7a17ba783f586b447d6dc13e549"/>
      <w:r w:rsidRPr="0033210B">
        <w:rPr>
          <w:rFonts w:ascii="Calibri" w:hAnsi="Calibri" w:cs="Calibri"/>
          <w:b/>
          <w:bCs/>
          <w:sz w:val="22"/>
          <w:szCs w:val="22"/>
        </w:rPr>
        <w:t xml:space="preserve">1. </w:t>
      </w:r>
      <w:hyperlink r:id="rId7" w:anchor="european-competence-framework-for-research-managers" w:history="1">
        <w:r w:rsidR="00492460" w:rsidRPr="0033210B">
          <w:rPr>
            <w:rStyle w:val="Hyperlink"/>
            <w:rFonts w:ascii="Calibri" w:hAnsi="Calibri" w:cs="Calibri"/>
            <w:b/>
            <w:bCs/>
            <w:sz w:val="22"/>
            <w:szCs w:val="22"/>
          </w:rPr>
          <w:t>European Competence Framework for Research Managers</w:t>
        </w:r>
      </w:hyperlink>
    </w:p>
    <w:p w14:paraId="4BB5A50A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One of the most significant achievements of the CARDEA Project is the development of the first European Competence Framework for Research Managers in the European Research Area.</w:t>
      </w:r>
    </w:p>
    <w:p w14:paraId="12895FAE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Published by the European Commission, the framework represents an important milestone in recognising research management as a professional career pathway.</w:t>
      </w:r>
    </w:p>
    <w:p w14:paraId="3B285108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framework:</w:t>
      </w:r>
    </w:p>
    <w:p w14:paraId="14B969F0" w14:textId="77777777" w:rsidR="00492460" w:rsidRPr="0033210B" w:rsidRDefault="00000000" w:rsidP="0033210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Defines the core competencies required for research management roles</w:t>
      </w:r>
    </w:p>
    <w:p w14:paraId="2821E159" w14:textId="77777777" w:rsidR="00492460" w:rsidRPr="0033210B" w:rsidRDefault="00000000" w:rsidP="0033210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Supports career development and professional recognition</w:t>
      </w:r>
    </w:p>
    <w:p w14:paraId="36CEDFE9" w14:textId="77777777" w:rsidR="00492460" w:rsidRPr="0033210B" w:rsidRDefault="00000000" w:rsidP="0033210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Assists organisations in recruitment, progression and workforce planning</w:t>
      </w:r>
    </w:p>
    <w:p w14:paraId="3970B98C" w14:textId="77777777" w:rsidR="00492460" w:rsidRPr="0033210B" w:rsidRDefault="00000000" w:rsidP="0033210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Provides a shared European reference point for the profession</w:t>
      </w:r>
    </w:p>
    <w:p w14:paraId="348B09C6" w14:textId="77777777" w:rsidR="00492460" w:rsidRPr="0033210B" w:rsidRDefault="00000000" w:rsidP="0033210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Supports consistency and quality across research management functions</w:t>
      </w:r>
    </w:p>
    <w:p w14:paraId="5502C992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Importantly, the framework is designed for use across all sectors and organisations involved in research and innovation — not solely within universities.</w:t>
      </w:r>
    </w:p>
    <w:p w14:paraId="66FBBB4E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framework can support:</w:t>
      </w:r>
    </w:p>
    <w:p w14:paraId="624D944C" w14:textId="77777777" w:rsidR="00492460" w:rsidRPr="0033210B" w:rsidRDefault="00000000" w:rsidP="0033210B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Human Resources functions</w:t>
      </w:r>
    </w:p>
    <w:p w14:paraId="553F1634" w14:textId="77777777" w:rsidR="00492460" w:rsidRPr="0033210B" w:rsidRDefault="00000000" w:rsidP="0033210B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Offices of the Vice President for Research / Research and Innovation</w:t>
      </w:r>
    </w:p>
    <w:p w14:paraId="7043A6A0" w14:textId="77777777" w:rsidR="00492460" w:rsidRPr="0033210B" w:rsidRDefault="00000000" w:rsidP="0033210B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Research support and administration teams</w:t>
      </w:r>
    </w:p>
    <w:p w14:paraId="6E5C2AE1" w14:textId="77777777" w:rsidR="00492460" w:rsidRPr="0033210B" w:rsidRDefault="00000000" w:rsidP="0033210B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Research institutes and public bodies</w:t>
      </w:r>
    </w:p>
    <w:p w14:paraId="60E5E329" w14:textId="77777777" w:rsidR="00492460" w:rsidRPr="0033210B" w:rsidRDefault="00000000" w:rsidP="0033210B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Funding and innovation organisations</w:t>
      </w:r>
    </w:p>
    <w:p w14:paraId="6D5EA49C" w14:textId="77777777" w:rsidR="0033210B" w:rsidRPr="0033210B" w:rsidRDefault="0033210B" w:rsidP="0033210B">
      <w:pPr>
        <w:jc w:val="both"/>
        <w:rPr>
          <w:rFonts w:ascii="Calibri" w:hAnsi="Calibri" w:cs="Calibri"/>
          <w:sz w:val="22"/>
          <w:szCs w:val="22"/>
        </w:rPr>
      </w:pPr>
    </w:p>
    <w:p w14:paraId="7020D934" w14:textId="28ACE105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4" w:name="the-cardea-academy"/>
      <w:bookmarkEnd w:id="3"/>
      <w:r w:rsidRPr="0033210B">
        <w:rPr>
          <w:rFonts w:ascii="Calibri" w:hAnsi="Calibri" w:cs="Calibri"/>
          <w:b/>
          <w:bCs/>
          <w:sz w:val="22"/>
          <w:szCs w:val="22"/>
        </w:rPr>
        <w:lastRenderedPageBreak/>
        <w:t xml:space="preserve">2. </w:t>
      </w:r>
      <w:hyperlink r:id="rId8" w:history="1">
        <w:r w:rsidR="00492460" w:rsidRPr="0033210B">
          <w:rPr>
            <w:rStyle w:val="Hyperlink"/>
            <w:rFonts w:ascii="Calibri" w:hAnsi="Calibri" w:cs="Calibri"/>
            <w:b/>
            <w:bCs/>
            <w:sz w:val="22"/>
            <w:szCs w:val="22"/>
          </w:rPr>
          <w:t>The CARDEA Academy</w:t>
        </w:r>
      </w:hyperlink>
    </w:p>
    <w:p w14:paraId="373991B5" w14:textId="77777777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5" w:name="X7d30b446ea9b0c4ab9df74255f3a4aad3edb85c"/>
      <w:r w:rsidRPr="0033210B">
        <w:rPr>
          <w:rFonts w:ascii="Calibri" w:hAnsi="Calibri" w:cs="Calibri"/>
          <w:b/>
          <w:bCs/>
          <w:sz w:val="22"/>
          <w:szCs w:val="22"/>
        </w:rPr>
        <w:t>Open Access Training for Research Managers</w:t>
      </w:r>
    </w:p>
    <w:p w14:paraId="3697A34C" w14:textId="60C3A973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 xml:space="preserve">CARDEA has also developed the CARDEA </w:t>
      </w:r>
      <w:proofErr w:type="gramStart"/>
      <w:r w:rsidRPr="0033210B">
        <w:rPr>
          <w:rFonts w:ascii="Calibri" w:hAnsi="Calibri" w:cs="Calibri"/>
          <w:sz w:val="22"/>
          <w:szCs w:val="22"/>
        </w:rPr>
        <w:t>Academy</w:t>
      </w:r>
      <w:proofErr w:type="gramEnd"/>
      <w:r w:rsidRPr="0033210B">
        <w:rPr>
          <w:rFonts w:ascii="Calibri" w:hAnsi="Calibri" w:cs="Calibri"/>
          <w:sz w:val="22"/>
          <w:szCs w:val="22"/>
        </w:rPr>
        <w:t xml:space="preserve"> an open access training platform designed specifically for research managers.</w:t>
      </w:r>
    </w:p>
    <w:p w14:paraId="72606C94" w14:textId="28C0FA8C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 xml:space="preserve">The Academy provides accessible, structured </w:t>
      </w:r>
      <w:r w:rsidR="00061D66" w:rsidRPr="0033210B">
        <w:rPr>
          <w:rFonts w:ascii="Calibri" w:hAnsi="Calibri" w:cs="Calibri"/>
          <w:sz w:val="22"/>
          <w:szCs w:val="22"/>
        </w:rPr>
        <w:t xml:space="preserve">training </w:t>
      </w:r>
      <w:r w:rsidRPr="0033210B">
        <w:rPr>
          <w:rFonts w:ascii="Calibri" w:hAnsi="Calibri" w:cs="Calibri"/>
          <w:sz w:val="22"/>
          <w:szCs w:val="22"/>
        </w:rPr>
        <w:t>opportunities and supports the ongoing advancement of research management capability across Europe.</w:t>
      </w:r>
    </w:p>
    <w:p w14:paraId="78325F06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A key feature of the Academy is the inclusion of a microcredential, providing formal recognition for learning and professional development.</w:t>
      </w:r>
    </w:p>
    <w:p w14:paraId="3F7473B9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CARDEA Academy:</w:t>
      </w:r>
    </w:p>
    <w:p w14:paraId="71885480" w14:textId="717AC6B9" w:rsidR="00492460" w:rsidRPr="0033210B" w:rsidRDefault="00000000" w:rsidP="0033210B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 xml:space="preserve">Provides </w:t>
      </w:r>
      <w:r w:rsidR="0033210B" w:rsidRPr="0033210B">
        <w:rPr>
          <w:rFonts w:ascii="Calibri" w:hAnsi="Calibri" w:cs="Calibri"/>
          <w:sz w:val="22"/>
          <w:szCs w:val="22"/>
        </w:rPr>
        <w:t>open-access</w:t>
      </w:r>
      <w:r w:rsidRPr="0033210B">
        <w:rPr>
          <w:rFonts w:ascii="Calibri" w:hAnsi="Calibri" w:cs="Calibri"/>
          <w:sz w:val="22"/>
          <w:szCs w:val="22"/>
        </w:rPr>
        <w:t xml:space="preserve"> training resources</w:t>
      </w:r>
    </w:p>
    <w:p w14:paraId="161E999B" w14:textId="77777777" w:rsidR="00492460" w:rsidRPr="0033210B" w:rsidRDefault="00000000" w:rsidP="0033210B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Supports continuous professional development</w:t>
      </w:r>
    </w:p>
    <w:p w14:paraId="2EF78063" w14:textId="77777777" w:rsidR="00492460" w:rsidRPr="0033210B" w:rsidRDefault="00000000" w:rsidP="0033210B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Encourages skills development across the research management profession</w:t>
      </w:r>
    </w:p>
    <w:p w14:paraId="68052ED4" w14:textId="77777777" w:rsidR="00492460" w:rsidRPr="0033210B" w:rsidRDefault="00000000" w:rsidP="0033210B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Promotes accessibility and inclusion across the ERA</w:t>
      </w:r>
    </w:p>
    <w:p w14:paraId="29E26531" w14:textId="77777777" w:rsidR="00492460" w:rsidRPr="0033210B" w:rsidRDefault="00000000" w:rsidP="0033210B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Contributes to building research management capacity within organisations</w:t>
      </w:r>
    </w:p>
    <w:p w14:paraId="6D50CB09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Academy supports both experienced professionals and those entering research management roles for the first time.</w:t>
      </w:r>
    </w:p>
    <w:p w14:paraId="4F8A07FD" w14:textId="5396D0A6" w:rsidR="00492460" w:rsidRPr="0033210B" w:rsidRDefault="00492460" w:rsidP="0033210B">
      <w:pPr>
        <w:jc w:val="both"/>
        <w:rPr>
          <w:rFonts w:ascii="Calibri" w:hAnsi="Calibri" w:cs="Calibri"/>
          <w:sz w:val="22"/>
          <w:szCs w:val="22"/>
        </w:rPr>
      </w:pPr>
    </w:p>
    <w:p w14:paraId="7D614827" w14:textId="273FDF96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6" w:name="proposed-charter-for-research-managers"/>
      <w:bookmarkEnd w:id="4"/>
      <w:bookmarkEnd w:id="5"/>
      <w:r w:rsidRPr="0033210B">
        <w:rPr>
          <w:rFonts w:ascii="Calibri" w:hAnsi="Calibri" w:cs="Calibri"/>
          <w:b/>
          <w:bCs/>
          <w:sz w:val="22"/>
          <w:szCs w:val="22"/>
        </w:rPr>
        <w:t xml:space="preserve">3. </w:t>
      </w:r>
      <w:hyperlink r:id="rId9" w:history="1">
        <w:r w:rsidR="00492460" w:rsidRPr="0033210B">
          <w:rPr>
            <w:rStyle w:val="Hyperlink"/>
            <w:rFonts w:ascii="Calibri" w:hAnsi="Calibri" w:cs="Calibri"/>
            <w:b/>
            <w:bCs/>
            <w:sz w:val="22"/>
            <w:szCs w:val="22"/>
          </w:rPr>
          <w:t>Proposed Charter for Research Managers</w:t>
        </w:r>
      </w:hyperlink>
    </w:p>
    <w:p w14:paraId="1819F8CE" w14:textId="71F639A9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 xml:space="preserve">CARDEA has also </w:t>
      </w:r>
      <w:r w:rsidR="00061D66" w:rsidRPr="0033210B">
        <w:rPr>
          <w:rFonts w:ascii="Calibri" w:hAnsi="Calibri" w:cs="Calibri"/>
          <w:sz w:val="22"/>
          <w:szCs w:val="22"/>
        </w:rPr>
        <w:t>developed</w:t>
      </w:r>
      <w:r w:rsidRPr="0033210B">
        <w:rPr>
          <w:rFonts w:ascii="Calibri" w:hAnsi="Calibri" w:cs="Calibri"/>
          <w:sz w:val="22"/>
          <w:szCs w:val="22"/>
        </w:rPr>
        <w:t xml:space="preserve"> a proposed Charter for Research Managers.</w:t>
      </w:r>
    </w:p>
    <w:p w14:paraId="376ABB65" w14:textId="74612D94" w:rsidR="00492460" w:rsidRPr="0033210B" w:rsidRDefault="00061D66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Charter aims to strengthen recognition, visibility and support for research managers across Europe.</w:t>
      </w:r>
    </w:p>
    <w:p w14:paraId="14A3F340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proposed Charter aligns with wider European policy objectives and reflects the growing importance of research management in enabling excellent research and innovation.</w:t>
      </w:r>
    </w:p>
    <w:p w14:paraId="70B7A4C1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Charter is structured around four pillars and seeks to:</w:t>
      </w:r>
    </w:p>
    <w:p w14:paraId="50387D65" w14:textId="77777777" w:rsidR="00492460" w:rsidRPr="0033210B" w:rsidRDefault="00000000" w:rsidP="0033210B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Support recognition of research management as a profession</w:t>
      </w:r>
    </w:p>
    <w:p w14:paraId="222F5A25" w14:textId="77777777" w:rsidR="00492460" w:rsidRPr="0033210B" w:rsidRDefault="00000000" w:rsidP="0033210B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Promote career development and professional standards</w:t>
      </w:r>
    </w:p>
    <w:p w14:paraId="0DA1F7BD" w14:textId="77777777" w:rsidR="00492460" w:rsidRPr="0033210B" w:rsidRDefault="00000000" w:rsidP="0033210B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Encourage organisational support structures</w:t>
      </w:r>
    </w:p>
    <w:p w14:paraId="19A9CD47" w14:textId="77777777" w:rsidR="00492460" w:rsidRPr="0033210B" w:rsidRDefault="00000000" w:rsidP="0033210B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33210B">
        <w:rPr>
          <w:rFonts w:ascii="Calibri" w:hAnsi="Calibri" w:cs="Calibri"/>
          <w:sz w:val="22"/>
          <w:szCs w:val="22"/>
        </w:rPr>
        <w:t>Strengthen</w:t>
      </w:r>
      <w:proofErr w:type="gramEnd"/>
      <w:r w:rsidRPr="0033210B">
        <w:rPr>
          <w:rFonts w:ascii="Calibri" w:hAnsi="Calibri" w:cs="Calibri"/>
          <w:sz w:val="22"/>
          <w:szCs w:val="22"/>
        </w:rPr>
        <w:t xml:space="preserve"> research excellence through effective research management</w:t>
      </w:r>
    </w:p>
    <w:p w14:paraId="0C5EAA04" w14:textId="64389E91" w:rsid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proposed Charter complements broader European policy developments connected to ERA Action 17</w:t>
      </w:r>
      <w:r w:rsidR="00061D66" w:rsidRPr="0033210B">
        <w:rPr>
          <w:rFonts w:ascii="Calibri" w:hAnsi="Calibri" w:cs="Calibri"/>
          <w:sz w:val="22"/>
          <w:szCs w:val="22"/>
        </w:rPr>
        <w:t xml:space="preserve">, </w:t>
      </w:r>
      <w:r w:rsidRPr="0033210B">
        <w:rPr>
          <w:rFonts w:ascii="Calibri" w:hAnsi="Calibri" w:cs="Calibri"/>
          <w:i/>
          <w:iCs/>
          <w:sz w:val="22"/>
          <w:szCs w:val="22"/>
        </w:rPr>
        <w:t>A New Era in Research Management</w:t>
      </w:r>
      <w:r w:rsidRPr="0033210B">
        <w:rPr>
          <w:rFonts w:ascii="Calibri" w:hAnsi="Calibri" w:cs="Calibri"/>
          <w:sz w:val="22"/>
          <w:szCs w:val="22"/>
        </w:rPr>
        <w:t>.</w:t>
      </w:r>
    </w:p>
    <w:p w14:paraId="1FC8AFF3" w14:textId="77777777" w:rsidR="0033210B" w:rsidRDefault="0033210B" w:rsidP="0033210B">
      <w:pPr>
        <w:jc w:val="both"/>
        <w:rPr>
          <w:rFonts w:ascii="Calibri" w:hAnsi="Calibri" w:cs="Calibri"/>
          <w:sz w:val="22"/>
          <w:szCs w:val="22"/>
        </w:rPr>
      </w:pPr>
    </w:p>
    <w:p w14:paraId="163069CC" w14:textId="77777777" w:rsidR="0033210B" w:rsidRPr="0033210B" w:rsidRDefault="0033210B" w:rsidP="0033210B">
      <w:pPr>
        <w:jc w:val="both"/>
        <w:rPr>
          <w:rFonts w:ascii="Calibri" w:hAnsi="Calibri" w:cs="Calibri"/>
          <w:sz w:val="22"/>
          <w:szCs w:val="22"/>
        </w:rPr>
      </w:pPr>
    </w:p>
    <w:p w14:paraId="5F851A21" w14:textId="77777777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8"/>
          <w:szCs w:val="28"/>
        </w:rPr>
      </w:pPr>
      <w:bookmarkStart w:id="7" w:name="why-these-results-matter"/>
      <w:bookmarkEnd w:id="2"/>
      <w:bookmarkEnd w:id="6"/>
      <w:r w:rsidRPr="0033210B">
        <w:rPr>
          <w:rFonts w:ascii="Calibri" w:hAnsi="Calibri" w:cs="Calibri"/>
          <w:b/>
          <w:bCs/>
          <w:sz w:val="28"/>
          <w:szCs w:val="28"/>
        </w:rPr>
        <w:lastRenderedPageBreak/>
        <w:t>Why These Results Matter</w:t>
      </w:r>
    </w:p>
    <w:p w14:paraId="10485B0D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outputs of the CARDEA Project provide organisations with practical tools to strengthen their research ecosystems and support research excellence.</w:t>
      </w:r>
    </w:p>
    <w:p w14:paraId="42D9CD40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Together, the Competence Framework, CARDEA Academy and Proposed Charter:</w:t>
      </w:r>
    </w:p>
    <w:p w14:paraId="38A3EDB0" w14:textId="77777777" w:rsidR="00492460" w:rsidRPr="0033210B" w:rsidRDefault="00000000" w:rsidP="0033210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Advance the professionalisation of research management</w:t>
      </w:r>
    </w:p>
    <w:p w14:paraId="03E23FD3" w14:textId="77777777" w:rsidR="00492460" w:rsidRPr="0033210B" w:rsidRDefault="00000000" w:rsidP="0033210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Support institutional capacity building</w:t>
      </w:r>
    </w:p>
    <w:p w14:paraId="19B72EB0" w14:textId="77777777" w:rsidR="00492460" w:rsidRPr="0033210B" w:rsidRDefault="00000000" w:rsidP="0033210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Promote career recognition and development</w:t>
      </w:r>
    </w:p>
    <w:p w14:paraId="2386CFC9" w14:textId="77777777" w:rsidR="00492460" w:rsidRPr="0033210B" w:rsidRDefault="00000000" w:rsidP="0033210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Enable more effective research support structures</w:t>
      </w:r>
    </w:p>
    <w:p w14:paraId="05DE0E31" w14:textId="77777777" w:rsidR="00492460" w:rsidRPr="0033210B" w:rsidRDefault="00000000" w:rsidP="0033210B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33210B">
        <w:rPr>
          <w:rFonts w:ascii="Calibri" w:hAnsi="Calibri" w:cs="Calibri"/>
          <w:sz w:val="22"/>
          <w:szCs w:val="22"/>
        </w:rPr>
        <w:t>Strengthen</w:t>
      </w:r>
      <w:proofErr w:type="gramEnd"/>
      <w:r w:rsidRPr="0033210B">
        <w:rPr>
          <w:rFonts w:ascii="Calibri" w:hAnsi="Calibri" w:cs="Calibri"/>
          <w:sz w:val="22"/>
          <w:szCs w:val="22"/>
        </w:rPr>
        <w:t xml:space="preserve"> alignment across the European Research Area</w:t>
      </w:r>
    </w:p>
    <w:p w14:paraId="67DE9BE7" w14:textId="316F42AF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These resources can support organisations at strategic, operational and workforce development levels.</w:t>
      </w:r>
    </w:p>
    <w:p w14:paraId="620FE69A" w14:textId="77777777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8" w:name="dissemination-opportunities"/>
      <w:bookmarkEnd w:id="7"/>
      <w:r w:rsidRPr="0033210B">
        <w:rPr>
          <w:rFonts w:ascii="Calibri" w:hAnsi="Calibri" w:cs="Calibri"/>
          <w:b/>
          <w:bCs/>
          <w:sz w:val="22"/>
          <w:szCs w:val="22"/>
        </w:rPr>
        <w:t>Dissemination Opportunities</w:t>
      </w:r>
    </w:p>
    <w:p w14:paraId="170E7B30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CARDEA outputs are particularly relevant for dissemination within:</w:t>
      </w:r>
    </w:p>
    <w:p w14:paraId="2198A0BA" w14:textId="77777777" w:rsidR="00492460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Human Resources units</w:t>
      </w:r>
    </w:p>
    <w:p w14:paraId="775AD390" w14:textId="77777777" w:rsidR="00492460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Offices of the Vice President for Research / Research and Innovation</w:t>
      </w:r>
    </w:p>
    <w:p w14:paraId="72732CE7" w14:textId="77777777" w:rsidR="00492460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Research Support and Research Administration groups</w:t>
      </w:r>
    </w:p>
    <w:p w14:paraId="478E81D8" w14:textId="77777777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The resources may also be of interest to:</w:t>
      </w:r>
    </w:p>
    <w:p w14:paraId="411812E9" w14:textId="77777777" w:rsidR="00492460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Research institutes</w:t>
      </w:r>
    </w:p>
    <w:p w14:paraId="539A4D82" w14:textId="77777777" w:rsidR="00492460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Funding agencies</w:t>
      </w:r>
    </w:p>
    <w:p w14:paraId="619C5E66" w14:textId="77777777" w:rsidR="00492460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Public sector research organisations</w:t>
      </w:r>
    </w:p>
    <w:p w14:paraId="46DE57A8" w14:textId="77777777" w:rsidR="00492460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Innovation and enterprise organisations</w:t>
      </w:r>
    </w:p>
    <w:p w14:paraId="7169CC8E" w14:textId="78DC4348" w:rsidR="0033210B" w:rsidRPr="0033210B" w:rsidRDefault="00000000" w:rsidP="0033210B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European research networks and alliances</w:t>
      </w:r>
    </w:p>
    <w:p w14:paraId="000A5208" w14:textId="77777777" w:rsidR="0033210B" w:rsidRPr="0033210B" w:rsidRDefault="0033210B" w:rsidP="0033210B">
      <w:pPr>
        <w:jc w:val="both"/>
        <w:rPr>
          <w:rFonts w:ascii="Calibri" w:hAnsi="Calibri" w:cs="Calibri"/>
          <w:sz w:val="22"/>
          <w:szCs w:val="22"/>
        </w:rPr>
      </w:pPr>
    </w:p>
    <w:p w14:paraId="3BF04805" w14:textId="77777777" w:rsidR="00492460" w:rsidRPr="0033210B" w:rsidRDefault="00000000" w:rsidP="0033210B">
      <w:pPr>
        <w:jc w:val="both"/>
        <w:rPr>
          <w:rFonts w:ascii="Calibri" w:hAnsi="Calibri" w:cs="Calibri"/>
          <w:b/>
          <w:bCs/>
          <w:sz w:val="28"/>
          <w:szCs w:val="28"/>
        </w:rPr>
      </w:pPr>
      <w:bookmarkStart w:id="9" w:name="about-cardea"/>
      <w:bookmarkEnd w:id="8"/>
      <w:r w:rsidRPr="0033210B">
        <w:rPr>
          <w:rFonts w:ascii="Calibri" w:hAnsi="Calibri" w:cs="Calibri"/>
          <w:b/>
          <w:bCs/>
          <w:sz w:val="28"/>
          <w:szCs w:val="28"/>
        </w:rPr>
        <w:t>About CARDEA</w:t>
      </w:r>
    </w:p>
    <w:p w14:paraId="1E051994" w14:textId="551CF786" w:rsidR="00492460" w:rsidRPr="0033210B" w:rsidRDefault="00000000" w:rsidP="0033210B">
      <w:pPr>
        <w:jc w:val="both"/>
        <w:rPr>
          <w:rFonts w:ascii="Calibri" w:hAnsi="Calibri" w:cs="Calibri"/>
          <w:sz w:val="22"/>
          <w:szCs w:val="22"/>
        </w:rPr>
      </w:pPr>
      <w:r w:rsidRPr="0033210B">
        <w:rPr>
          <w:rFonts w:ascii="Calibri" w:hAnsi="Calibri" w:cs="Calibri"/>
          <w:sz w:val="22"/>
          <w:szCs w:val="22"/>
        </w:rPr>
        <w:t>CARDEA is a European initiative supporting the professionalisation of research management and the recognition of research management careers within the European Research Area.</w:t>
      </w:r>
      <w:r w:rsidR="00D27D13">
        <w:rPr>
          <w:rFonts w:ascii="Calibri" w:hAnsi="Calibri" w:cs="Calibri"/>
          <w:sz w:val="22"/>
          <w:szCs w:val="22"/>
        </w:rPr>
        <w:t xml:space="preserve">  </w:t>
      </w:r>
      <w:r w:rsidR="00D27D13" w:rsidRPr="00D27D13">
        <w:rPr>
          <w:rFonts w:ascii="Calibri" w:hAnsi="Calibri" w:cs="Calibri"/>
          <w:sz w:val="22"/>
          <w:szCs w:val="22"/>
        </w:rPr>
        <w:t>The CARDEA project is funded by the European Union</w:t>
      </w:r>
      <w:r w:rsidR="00D27D13">
        <w:rPr>
          <w:rFonts w:ascii="Calibri" w:hAnsi="Calibri" w:cs="Calibri"/>
          <w:sz w:val="22"/>
          <w:szCs w:val="22"/>
        </w:rPr>
        <w:t xml:space="preserve">. </w:t>
      </w:r>
      <w:r w:rsidR="00D27D13" w:rsidRPr="00D27D13">
        <w:rPr>
          <w:rFonts w:ascii="Calibri" w:hAnsi="Calibri" w:cs="Calibri"/>
          <w:sz w:val="22"/>
          <w:szCs w:val="22"/>
        </w:rPr>
        <w:t>We support the European Research Area aimed at creating a single, borderless market for research, innovation and technology in the EU</w:t>
      </w:r>
      <w:r w:rsidR="00D27D13">
        <w:rPr>
          <w:rFonts w:ascii="Calibri" w:hAnsi="Calibri" w:cs="Calibri"/>
          <w:sz w:val="22"/>
          <w:szCs w:val="22"/>
        </w:rPr>
        <w:t>.</w:t>
      </w:r>
    </w:p>
    <w:p w14:paraId="09609AF0" w14:textId="11DF368F" w:rsidR="00061D66" w:rsidRPr="0033210B" w:rsidRDefault="00061D66" w:rsidP="0033210B">
      <w:pPr>
        <w:jc w:val="both"/>
        <w:rPr>
          <w:rFonts w:ascii="Calibri" w:hAnsi="Calibri" w:cs="Calibri"/>
          <w:sz w:val="22"/>
          <w:szCs w:val="22"/>
        </w:rPr>
      </w:pPr>
      <w:hyperlink r:id="rId10">
        <w:r w:rsidRPr="0033210B">
          <w:rPr>
            <w:rStyle w:val="Hyperlink"/>
            <w:rFonts w:ascii="Calibri" w:hAnsi="Calibri" w:cs="Calibri"/>
            <w:sz w:val="22"/>
            <w:szCs w:val="22"/>
          </w:rPr>
          <w:t>CARDEA Project Website</w:t>
        </w:r>
      </w:hyperlink>
    </w:p>
    <w:bookmarkEnd w:id="9"/>
    <w:p w14:paraId="1C9D41AA" w14:textId="73B3468B" w:rsidR="00061D66" w:rsidRPr="0033210B" w:rsidRDefault="00061D66" w:rsidP="0033210B">
      <w:pPr>
        <w:jc w:val="center"/>
        <w:rPr>
          <w:rFonts w:ascii="Calibri" w:hAnsi="Calibri" w:cs="Calibri"/>
          <w:sz w:val="22"/>
          <w:szCs w:val="22"/>
        </w:rPr>
      </w:pPr>
    </w:p>
    <w:sectPr w:rsidR="00061D66" w:rsidRPr="0033210B">
      <w:headerReference w:type="default" r:id="rId11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A076" w14:textId="77777777" w:rsidR="004B501C" w:rsidRDefault="004B501C" w:rsidP="0033210B">
      <w:pPr>
        <w:spacing w:after="0"/>
      </w:pPr>
      <w:r>
        <w:separator/>
      </w:r>
    </w:p>
  </w:endnote>
  <w:endnote w:type="continuationSeparator" w:id="0">
    <w:p w14:paraId="58F8EAD4" w14:textId="77777777" w:rsidR="004B501C" w:rsidRDefault="004B501C" w:rsidP="00332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9296" w14:textId="77777777" w:rsidR="004B501C" w:rsidRDefault="004B501C" w:rsidP="0033210B">
      <w:pPr>
        <w:spacing w:after="0"/>
      </w:pPr>
      <w:r>
        <w:separator/>
      </w:r>
    </w:p>
  </w:footnote>
  <w:footnote w:type="continuationSeparator" w:id="0">
    <w:p w14:paraId="612F1A0E" w14:textId="77777777" w:rsidR="004B501C" w:rsidRDefault="004B501C" w:rsidP="003321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173F" w14:textId="1A8D7087" w:rsidR="0033210B" w:rsidRDefault="0033210B" w:rsidP="0033210B">
    <w:pPr>
      <w:pStyle w:val="Header"/>
      <w:jc w:val="center"/>
    </w:pPr>
    <w:r>
      <w:rPr>
        <w:noProof/>
      </w:rPr>
      <w:drawing>
        <wp:inline distT="0" distB="0" distL="0" distR="0" wp14:anchorId="3F22B200" wp14:editId="27E701B1">
          <wp:extent cx="1738362" cy="1118235"/>
          <wp:effectExtent l="0" t="0" r="0" b="5715"/>
          <wp:docPr id="18201299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29976" name="Picture 1820129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362" cy="111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C86FA0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D7C33F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2CCC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710970"/>
    <w:multiLevelType w:val="hybridMultilevel"/>
    <w:tmpl w:val="96D88C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376F"/>
    <w:multiLevelType w:val="hybridMultilevel"/>
    <w:tmpl w:val="C8EA33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7B79"/>
    <w:multiLevelType w:val="hybridMultilevel"/>
    <w:tmpl w:val="2DDA94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505"/>
    <w:multiLevelType w:val="hybridMultilevel"/>
    <w:tmpl w:val="F0FECC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B2C20"/>
    <w:multiLevelType w:val="hybridMultilevel"/>
    <w:tmpl w:val="FCBA35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65390"/>
    <w:multiLevelType w:val="hybridMultilevel"/>
    <w:tmpl w:val="E2D474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10190">
    <w:abstractNumId w:val="0"/>
  </w:num>
  <w:num w:numId="2" w16cid:durableId="279068350">
    <w:abstractNumId w:val="1"/>
  </w:num>
  <w:num w:numId="3" w16cid:durableId="1417171576">
    <w:abstractNumId w:val="1"/>
  </w:num>
  <w:num w:numId="4" w16cid:durableId="1074938603">
    <w:abstractNumId w:val="1"/>
  </w:num>
  <w:num w:numId="5" w16cid:durableId="1516261944">
    <w:abstractNumId w:val="1"/>
  </w:num>
  <w:num w:numId="6" w16cid:durableId="226381739">
    <w:abstractNumId w:val="1"/>
  </w:num>
  <w:num w:numId="7" w16cid:durableId="95171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563748">
    <w:abstractNumId w:val="1"/>
  </w:num>
  <w:num w:numId="9" w16cid:durableId="843742777">
    <w:abstractNumId w:val="6"/>
  </w:num>
  <w:num w:numId="10" w16cid:durableId="1437405636">
    <w:abstractNumId w:val="7"/>
  </w:num>
  <w:num w:numId="11" w16cid:durableId="2072119623">
    <w:abstractNumId w:val="4"/>
  </w:num>
  <w:num w:numId="12" w16cid:durableId="172304860">
    <w:abstractNumId w:val="5"/>
  </w:num>
  <w:num w:numId="13" w16cid:durableId="593174609">
    <w:abstractNumId w:val="3"/>
  </w:num>
  <w:num w:numId="14" w16cid:durableId="682560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0"/>
    <w:rsid w:val="00061D66"/>
    <w:rsid w:val="0033210B"/>
    <w:rsid w:val="00372475"/>
    <w:rsid w:val="00492460"/>
    <w:rsid w:val="004B501C"/>
    <w:rsid w:val="00CD3540"/>
    <w:rsid w:val="00D2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709CA"/>
  <w15:docId w15:val="{9F433F6E-87FB-4799-81DF-BF54DAAE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3321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21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321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3210B"/>
  </w:style>
  <w:style w:type="paragraph" w:styleId="Footer">
    <w:name w:val="footer"/>
    <w:basedOn w:val="Normal"/>
    <w:link w:val="FooterChar"/>
    <w:rsid w:val="003321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3210B"/>
  </w:style>
  <w:style w:type="character" w:styleId="FollowedHyperlink">
    <w:name w:val="FollowedHyperlink"/>
    <w:basedOn w:val="DefaultParagraphFont"/>
    <w:rsid w:val="003321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eahub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c.ie/en/cardea/resultsrmcom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cc.ie/en/cardea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c.ie/en/cardea/proposedcharterr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813</Words>
  <Characters>4637</Characters>
  <Application>Microsoft Office Word</Application>
  <DocSecurity>0</DocSecurity>
  <Lines>38</Lines>
  <Paragraphs>10</Paragraphs>
  <ScaleCrop>false</ScaleCrop>
  <Company>University College Cork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Kate O'Regan (HR Business)</dc:creator>
  <cp:keywords/>
  <cp:lastModifiedBy>Mary Kate O'Regan (HR Business)</cp:lastModifiedBy>
  <cp:revision>3</cp:revision>
  <dcterms:created xsi:type="dcterms:W3CDTF">2026-05-20T13:56:00Z</dcterms:created>
  <dcterms:modified xsi:type="dcterms:W3CDTF">2026-05-20T14:01:00Z</dcterms:modified>
</cp:coreProperties>
</file>