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2319" w14:textId="515FF192" w:rsidR="007E485F" w:rsidRDefault="00134DB2" w:rsidP="00E847A7">
      <w:pPr>
        <w:jc w:val="center"/>
        <w:rPr>
          <w:b/>
          <w:bCs/>
          <w:sz w:val="32"/>
          <w:szCs w:val="32"/>
        </w:rPr>
      </w:pPr>
      <w:r w:rsidRPr="00134DB2">
        <w:rPr>
          <w:b/>
          <w:bCs/>
          <w:sz w:val="32"/>
          <w:szCs w:val="32"/>
        </w:rPr>
        <w:t xml:space="preserve">ABOARD: </w:t>
      </w:r>
      <w:proofErr w:type="spellStart"/>
      <w:r w:rsidRPr="00134DB2">
        <w:rPr>
          <w:b/>
          <w:bCs/>
          <w:sz w:val="32"/>
          <w:szCs w:val="32"/>
        </w:rPr>
        <w:t>RoAdmap</w:t>
      </w:r>
      <w:proofErr w:type="spellEnd"/>
      <w:r w:rsidRPr="00134DB2">
        <w:rPr>
          <w:b/>
          <w:bCs/>
          <w:sz w:val="32"/>
          <w:szCs w:val="32"/>
        </w:rPr>
        <w:t xml:space="preserve"> to </w:t>
      </w:r>
      <w:proofErr w:type="spellStart"/>
      <w:r w:rsidRPr="00134DB2">
        <w:rPr>
          <w:b/>
          <w:bCs/>
          <w:sz w:val="32"/>
          <w:szCs w:val="32"/>
        </w:rPr>
        <w:t>EmBedding</w:t>
      </w:r>
      <w:proofErr w:type="spellEnd"/>
      <w:r w:rsidRPr="00134DB2">
        <w:rPr>
          <w:b/>
          <w:bCs/>
          <w:sz w:val="32"/>
          <w:szCs w:val="32"/>
        </w:rPr>
        <w:t xml:space="preserve"> Open </w:t>
      </w:r>
      <w:proofErr w:type="spellStart"/>
      <w:r w:rsidRPr="00134DB2">
        <w:rPr>
          <w:b/>
          <w:bCs/>
          <w:sz w:val="32"/>
          <w:szCs w:val="32"/>
        </w:rPr>
        <w:t>ReseArch</w:t>
      </w:r>
      <w:proofErr w:type="spellEnd"/>
      <w:r w:rsidRPr="00134DB2">
        <w:rPr>
          <w:b/>
          <w:bCs/>
          <w:sz w:val="32"/>
          <w:szCs w:val="32"/>
        </w:rPr>
        <w:t xml:space="preserve"> Practices in </w:t>
      </w:r>
      <w:proofErr w:type="spellStart"/>
      <w:r w:rsidRPr="00134DB2">
        <w:rPr>
          <w:b/>
          <w:bCs/>
          <w:sz w:val="32"/>
          <w:szCs w:val="32"/>
        </w:rPr>
        <w:t>IRelanD</w:t>
      </w:r>
      <w:proofErr w:type="spellEnd"/>
      <w:r w:rsidRPr="00134DB2">
        <w:rPr>
          <w:b/>
          <w:bCs/>
          <w:sz w:val="32"/>
          <w:szCs w:val="32"/>
        </w:rPr>
        <w:t xml:space="preserve"> </w:t>
      </w:r>
    </w:p>
    <w:p w14:paraId="01C99249" w14:textId="7353AFED" w:rsidR="005C24BE" w:rsidRPr="00134DB2" w:rsidRDefault="005C24BE" w:rsidP="00E847A7">
      <w:pPr>
        <w:jc w:val="center"/>
        <w:rPr>
          <w:rFonts w:ascii="Calibri" w:hAnsi="Calibri" w:cs="Calibri"/>
          <w:b/>
          <w:bCs/>
          <w:sz w:val="36"/>
          <w:szCs w:val="36"/>
        </w:rPr>
      </w:pPr>
    </w:p>
    <w:p w14:paraId="6329C201" w14:textId="472EF314" w:rsidR="00B1733E" w:rsidRPr="005C24BE" w:rsidRDefault="00870841" w:rsidP="00E847A7">
      <w:pPr>
        <w:jc w:val="center"/>
        <w:rPr>
          <w:rFonts w:ascii="Calibri" w:hAnsi="Calibri" w:cs="Calibri"/>
          <w:b/>
          <w:bCs/>
          <w:i/>
          <w:iCs/>
          <w:sz w:val="32"/>
          <w:szCs w:val="32"/>
        </w:rPr>
      </w:pPr>
      <w:r w:rsidRPr="005C24BE">
        <w:rPr>
          <w:rFonts w:ascii="Calibri" w:hAnsi="Calibri" w:cs="Calibri"/>
          <w:b/>
          <w:bCs/>
          <w:i/>
          <w:iCs/>
          <w:sz w:val="32"/>
          <w:szCs w:val="32"/>
        </w:rPr>
        <w:t>INCENTIVISING OPEN RESEARCH: A SYSTEM-LEVEL CHALLENGE</w:t>
      </w:r>
    </w:p>
    <w:p w14:paraId="3751D4DD" w14:textId="77777777" w:rsidR="00226751" w:rsidRDefault="00226751">
      <w:pPr>
        <w:rPr>
          <w:rFonts w:ascii="Calibri" w:hAnsi="Calibri" w:cs="Calibri"/>
        </w:rPr>
      </w:pPr>
    </w:p>
    <w:p w14:paraId="3A400C45" w14:textId="31E92893" w:rsidR="00177DA8" w:rsidRPr="00177DA8" w:rsidRDefault="00177DA8" w:rsidP="00177DA8">
      <w:pPr>
        <w:pStyle w:val="ListParagraph"/>
        <w:numPr>
          <w:ilvl w:val="0"/>
          <w:numId w:val="1"/>
        </w:numPr>
        <w:rPr>
          <w:rFonts w:ascii="Calibri" w:hAnsi="Calibri" w:cs="Calibri"/>
          <w:b/>
          <w:bCs/>
        </w:rPr>
      </w:pPr>
      <w:r w:rsidRPr="00177DA8">
        <w:rPr>
          <w:rFonts w:ascii="Calibri" w:hAnsi="Calibri" w:cs="Calibri"/>
          <w:b/>
          <w:bCs/>
        </w:rPr>
        <w:t>Open research</w:t>
      </w:r>
    </w:p>
    <w:p w14:paraId="2E0058E0" w14:textId="4EF6DEBD" w:rsidR="00E847A7" w:rsidRPr="000245F1" w:rsidRDefault="00CD0081" w:rsidP="00177DA8">
      <w:pPr>
        <w:pStyle w:val="ListParagraph"/>
        <w:numPr>
          <w:ilvl w:val="1"/>
          <w:numId w:val="1"/>
        </w:numPr>
        <w:rPr>
          <w:rFonts w:ascii="Calibri" w:hAnsi="Calibri" w:cs="Calibri"/>
          <w:b/>
          <w:bCs/>
        </w:rPr>
      </w:pPr>
      <w:r w:rsidRPr="000245F1">
        <w:rPr>
          <w:rFonts w:ascii="Calibri" w:hAnsi="Calibri" w:cs="Calibri"/>
          <w:b/>
          <w:bCs/>
        </w:rPr>
        <w:t xml:space="preserve">What is </w:t>
      </w:r>
      <w:r w:rsidR="00E847A7" w:rsidRPr="000245F1">
        <w:rPr>
          <w:rFonts w:ascii="Calibri" w:hAnsi="Calibri" w:cs="Calibri"/>
          <w:b/>
          <w:bCs/>
        </w:rPr>
        <w:t>Open Researc</w:t>
      </w:r>
      <w:r w:rsidR="00177DA8">
        <w:rPr>
          <w:rFonts w:ascii="Calibri" w:hAnsi="Calibri" w:cs="Calibri"/>
          <w:b/>
          <w:bCs/>
        </w:rPr>
        <w:t>h?</w:t>
      </w:r>
    </w:p>
    <w:p w14:paraId="19338990" w14:textId="76F2511B" w:rsidR="006C69D0" w:rsidRPr="000245F1" w:rsidRDefault="00EE3083" w:rsidP="006C69D0">
      <w:pPr>
        <w:rPr>
          <w:rFonts w:ascii="Calibri" w:hAnsi="Calibri" w:cs="Calibri"/>
        </w:rPr>
      </w:pPr>
      <w:r w:rsidRPr="000245F1">
        <w:rPr>
          <w:rFonts w:ascii="Calibri" w:hAnsi="Calibri" w:cs="Calibri"/>
        </w:rPr>
        <w:t>In its Recommendation on Open Science (2021), t</w:t>
      </w:r>
      <w:r w:rsidR="006C69D0" w:rsidRPr="000245F1">
        <w:rPr>
          <w:rFonts w:ascii="Calibri" w:hAnsi="Calibri" w:cs="Calibri"/>
        </w:rPr>
        <w:t xml:space="preserve">he UNESCO defines </w:t>
      </w:r>
      <w:r w:rsidR="008354F0" w:rsidRPr="000245F1">
        <w:rPr>
          <w:rFonts w:ascii="Calibri" w:hAnsi="Calibri" w:cs="Calibri"/>
        </w:rPr>
        <w:t>the latter</w:t>
      </w:r>
      <w:r w:rsidR="006C69D0" w:rsidRPr="000245F1">
        <w:rPr>
          <w:rFonts w:ascii="Calibri" w:hAnsi="Calibri" w:cs="Calibri"/>
        </w:rPr>
        <w:t xml:space="preserve"> as follows: </w:t>
      </w:r>
    </w:p>
    <w:p w14:paraId="69312A75" w14:textId="2ED39B4E" w:rsidR="006C69D0" w:rsidRPr="000245F1" w:rsidRDefault="006C69D0" w:rsidP="006C69D0">
      <w:pPr>
        <w:ind w:left="720"/>
        <w:rPr>
          <w:rFonts w:ascii="Calibri" w:hAnsi="Calibri" w:cs="Calibri"/>
        </w:rPr>
      </w:pPr>
      <w:r w:rsidRPr="000245F1">
        <w:rPr>
          <w:rFonts w:ascii="Calibri" w:hAnsi="Calibri" w:cs="Calibri"/>
        </w:rPr>
        <w:t xml:space="preserve">an inclusive construct that combines various movements and practices aiming to make multilingual scientific knowledge </w:t>
      </w:r>
      <w:r w:rsidRPr="00847D28">
        <w:rPr>
          <w:rFonts w:ascii="Calibri" w:hAnsi="Calibri" w:cs="Calibri"/>
          <w:b/>
          <w:bCs/>
        </w:rPr>
        <w:t xml:space="preserve">openly available, </w:t>
      </w:r>
      <w:proofErr w:type="gramStart"/>
      <w:r w:rsidRPr="00847D28">
        <w:rPr>
          <w:rFonts w:ascii="Calibri" w:hAnsi="Calibri" w:cs="Calibri"/>
          <w:b/>
          <w:bCs/>
        </w:rPr>
        <w:t>accessible</w:t>
      </w:r>
      <w:proofErr w:type="gramEnd"/>
      <w:r w:rsidRPr="00847D28">
        <w:rPr>
          <w:rFonts w:ascii="Calibri" w:hAnsi="Calibri" w:cs="Calibri"/>
          <w:b/>
          <w:bCs/>
        </w:rPr>
        <w:t xml:space="preserve"> and reusable for everyone</w:t>
      </w:r>
      <w:r w:rsidRPr="000245F1">
        <w:rPr>
          <w:rFonts w:ascii="Calibri" w:hAnsi="Calibri" w:cs="Calibri"/>
        </w:rPr>
        <w:t xml:space="preserve">, to increase scientific collaborations and sharing of information for the benefits of science and society, and to </w:t>
      </w:r>
      <w:r w:rsidRPr="00847D28">
        <w:rPr>
          <w:rFonts w:ascii="Calibri" w:hAnsi="Calibri" w:cs="Calibri"/>
          <w:b/>
          <w:bCs/>
        </w:rPr>
        <w:t>open the processes of scientific knowledge creation, evaluation and communication to societal actors beyond the traditional scientific community</w:t>
      </w:r>
      <w:r w:rsidRPr="000245F1">
        <w:rPr>
          <w:rFonts w:ascii="Calibri" w:hAnsi="Calibri" w:cs="Calibri"/>
        </w:rPr>
        <w:t xml:space="preserve">. It comprises all scientific disciplines and aspects of scholarly practices, including basic and applied sciences, natural and social </w:t>
      </w:r>
      <w:proofErr w:type="gramStart"/>
      <w:r w:rsidRPr="000245F1">
        <w:rPr>
          <w:rFonts w:ascii="Calibri" w:hAnsi="Calibri" w:cs="Calibri"/>
        </w:rPr>
        <w:t>sciences</w:t>
      </w:r>
      <w:proofErr w:type="gramEnd"/>
      <w:r w:rsidRPr="000245F1">
        <w:rPr>
          <w:rFonts w:ascii="Calibri" w:hAnsi="Calibri" w:cs="Calibri"/>
        </w:rPr>
        <w:t xml:space="preserve"> and the humanities, and it builds on the following key pillars: open scientific knowledge, open science infrastructures, science communication, open engagement of societal actors and open dialogue with other knowledge systems.</w:t>
      </w:r>
      <w:r w:rsidR="003B5191" w:rsidRPr="000245F1">
        <w:rPr>
          <w:rStyle w:val="FootnoteReference"/>
          <w:rFonts w:ascii="Calibri" w:hAnsi="Calibri" w:cs="Calibri"/>
        </w:rPr>
        <w:footnoteReference w:id="1"/>
      </w:r>
    </w:p>
    <w:p w14:paraId="4AE2AC33" w14:textId="6932A85E" w:rsidR="00616ABC" w:rsidRPr="000245F1" w:rsidRDefault="00FA3A60" w:rsidP="006C69D0">
      <w:pPr>
        <w:rPr>
          <w:rFonts w:ascii="Calibri" w:hAnsi="Calibri" w:cs="Calibri"/>
          <w:lang w:val="en-US"/>
        </w:rPr>
      </w:pPr>
      <w:r w:rsidRPr="000245F1">
        <w:rPr>
          <w:rFonts w:ascii="Calibri" w:hAnsi="Calibri" w:cs="Calibri"/>
          <w:lang w:val="en-US"/>
        </w:rPr>
        <w:t>Open Research</w:t>
      </w:r>
      <w:r w:rsidR="00DD0307" w:rsidRPr="000245F1">
        <w:rPr>
          <w:rFonts w:ascii="Calibri" w:hAnsi="Calibri" w:cs="Calibri"/>
          <w:lang w:val="en-US"/>
        </w:rPr>
        <w:t xml:space="preserve"> (also known as Open Science or Open Scholarship)</w:t>
      </w:r>
      <w:r w:rsidR="006D3990" w:rsidRPr="000245F1">
        <w:rPr>
          <w:rFonts w:ascii="Calibri" w:hAnsi="Calibri" w:cs="Calibri"/>
          <w:lang w:val="en-US"/>
        </w:rPr>
        <w:t xml:space="preserve"> cover</w:t>
      </w:r>
      <w:r w:rsidRPr="000245F1">
        <w:rPr>
          <w:rFonts w:ascii="Calibri" w:hAnsi="Calibri" w:cs="Calibri"/>
          <w:lang w:val="en-US"/>
        </w:rPr>
        <w:t>s</w:t>
      </w:r>
      <w:r w:rsidR="006D3990" w:rsidRPr="000245F1">
        <w:rPr>
          <w:rFonts w:ascii="Calibri" w:hAnsi="Calibri" w:cs="Calibri"/>
          <w:lang w:val="en-US"/>
        </w:rPr>
        <w:t xml:space="preserve"> </w:t>
      </w:r>
      <w:r w:rsidR="00E9485C" w:rsidRPr="000245F1">
        <w:rPr>
          <w:rFonts w:ascii="Calibri" w:hAnsi="Calibri" w:cs="Calibri"/>
          <w:lang w:val="en-US"/>
        </w:rPr>
        <w:t>a diverse range of</w:t>
      </w:r>
      <w:r w:rsidR="006D3990" w:rsidRPr="000245F1">
        <w:rPr>
          <w:rFonts w:ascii="Calibri" w:hAnsi="Calibri" w:cs="Calibri"/>
          <w:lang w:val="en-US"/>
        </w:rPr>
        <w:t xml:space="preserve"> practices and processes</w:t>
      </w:r>
      <w:r w:rsidR="002C7B36" w:rsidRPr="000245F1">
        <w:rPr>
          <w:rFonts w:ascii="Calibri" w:hAnsi="Calibri" w:cs="Calibri"/>
          <w:lang w:val="en-US"/>
        </w:rPr>
        <w:t xml:space="preserve"> </w:t>
      </w:r>
      <w:r w:rsidR="00140FF3" w:rsidRPr="000245F1">
        <w:rPr>
          <w:rFonts w:ascii="Calibri" w:hAnsi="Calibri" w:cs="Calibri"/>
          <w:lang w:val="en-US"/>
        </w:rPr>
        <w:t>all driven</w:t>
      </w:r>
      <w:r w:rsidR="002C7B36" w:rsidRPr="000245F1">
        <w:rPr>
          <w:rFonts w:ascii="Calibri" w:hAnsi="Calibri" w:cs="Calibri"/>
          <w:lang w:val="en-US"/>
        </w:rPr>
        <w:t xml:space="preserve"> by a belief in the importance of research integrity</w:t>
      </w:r>
      <w:r w:rsidR="00140FF3" w:rsidRPr="000245F1">
        <w:rPr>
          <w:rFonts w:ascii="Calibri" w:hAnsi="Calibri" w:cs="Calibri"/>
          <w:lang w:val="en-US"/>
        </w:rPr>
        <w:t>,</w:t>
      </w:r>
      <w:r w:rsidR="002C7B36" w:rsidRPr="000245F1">
        <w:rPr>
          <w:rFonts w:ascii="Calibri" w:hAnsi="Calibri" w:cs="Calibri"/>
          <w:lang w:val="en-US"/>
        </w:rPr>
        <w:t xml:space="preserve"> </w:t>
      </w:r>
      <w:r w:rsidR="00616ABC" w:rsidRPr="000245F1">
        <w:rPr>
          <w:rFonts w:ascii="Calibri" w:hAnsi="Calibri" w:cs="Calibri"/>
          <w:lang w:val="en-US"/>
        </w:rPr>
        <w:t xml:space="preserve">transparency, </w:t>
      </w:r>
      <w:r w:rsidR="002C7B36" w:rsidRPr="000245F1">
        <w:rPr>
          <w:rFonts w:ascii="Calibri" w:hAnsi="Calibri" w:cs="Calibri"/>
          <w:lang w:val="en-US"/>
        </w:rPr>
        <w:t>collaboration, and of science</w:t>
      </w:r>
      <w:r w:rsidR="00143B31" w:rsidRPr="000245F1">
        <w:rPr>
          <w:rFonts w:ascii="Calibri" w:hAnsi="Calibri" w:cs="Calibri"/>
          <w:lang w:val="en-US"/>
        </w:rPr>
        <w:t xml:space="preserve"> and scholarship</w:t>
      </w:r>
      <w:r w:rsidR="002C7B36" w:rsidRPr="000245F1">
        <w:rPr>
          <w:rFonts w:ascii="Calibri" w:hAnsi="Calibri" w:cs="Calibri"/>
          <w:lang w:val="en-US"/>
        </w:rPr>
        <w:t xml:space="preserve"> for the greater good. </w:t>
      </w:r>
    </w:p>
    <w:p w14:paraId="68B23DE3" w14:textId="77777777" w:rsidR="00177DA8" w:rsidRDefault="002C7B36" w:rsidP="006C69D0">
      <w:pPr>
        <w:rPr>
          <w:rFonts w:ascii="Calibri" w:hAnsi="Calibri" w:cs="Calibri"/>
          <w:lang w:val="en-US"/>
        </w:rPr>
      </w:pPr>
      <w:r w:rsidRPr="000245F1">
        <w:rPr>
          <w:rFonts w:ascii="Calibri" w:hAnsi="Calibri" w:cs="Calibri"/>
          <w:lang w:val="en-US"/>
        </w:rPr>
        <w:t xml:space="preserve">As a set of ethical practices, </w:t>
      </w:r>
      <w:r w:rsidR="00143B31" w:rsidRPr="000245F1">
        <w:rPr>
          <w:rFonts w:ascii="Calibri" w:hAnsi="Calibri" w:cs="Calibri"/>
          <w:lang w:val="en-US"/>
        </w:rPr>
        <w:t>O</w:t>
      </w:r>
      <w:r w:rsidRPr="000245F1">
        <w:rPr>
          <w:rFonts w:ascii="Calibri" w:hAnsi="Calibri" w:cs="Calibri"/>
          <w:lang w:val="en-US"/>
        </w:rPr>
        <w:t xml:space="preserve">pen </w:t>
      </w:r>
      <w:r w:rsidR="00143B31" w:rsidRPr="000245F1">
        <w:rPr>
          <w:rFonts w:ascii="Calibri" w:hAnsi="Calibri" w:cs="Calibri"/>
          <w:lang w:val="en-US"/>
        </w:rPr>
        <w:t>R</w:t>
      </w:r>
      <w:r w:rsidRPr="000245F1">
        <w:rPr>
          <w:rFonts w:ascii="Calibri" w:hAnsi="Calibri" w:cs="Calibri"/>
          <w:lang w:val="en-US"/>
        </w:rPr>
        <w:t>esearch</w:t>
      </w:r>
      <w:r w:rsidR="00F76A95" w:rsidRPr="000245F1">
        <w:rPr>
          <w:rFonts w:ascii="Calibri" w:hAnsi="Calibri" w:cs="Calibri"/>
          <w:lang w:val="en-US"/>
        </w:rPr>
        <w:t xml:space="preserve"> is</w:t>
      </w:r>
      <w:r w:rsidR="00264120" w:rsidRPr="000245F1">
        <w:rPr>
          <w:rFonts w:ascii="Calibri" w:hAnsi="Calibri" w:cs="Calibri"/>
          <w:lang w:val="en-US"/>
        </w:rPr>
        <w:t xml:space="preserve"> fast</w:t>
      </w:r>
      <w:r w:rsidR="00F76A95" w:rsidRPr="000245F1">
        <w:rPr>
          <w:rFonts w:ascii="Calibri" w:hAnsi="Calibri" w:cs="Calibri"/>
          <w:lang w:val="en-US"/>
        </w:rPr>
        <w:t xml:space="preserve"> becoming essential.</w:t>
      </w:r>
      <w:r w:rsidRPr="000245F1">
        <w:rPr>
          <w:rFonts w:ascii="Calibri" w:hAnsi="Calibri" w:cs="Calibri"/>
          <w:lang w:val="en-US"/>
        </w:rPr>
        <w:t xml:space="preserve"> </w:t>
      </w:r>
    </w:p>
    <w:p w14:paraId="7497FBEA" w14:textId="77777777" w:rsidR="00177DA8" w:rsidRDefault="00F47C0E" w:rsidP="00177DA8">
      <w:pPr>
        <w:pStyle w:val="ListParagraph"/>
        <w:numPr>
          <w:ilvl w:val="0"/>
          <w:numId w:val="9"/>
        </w:numPr>
        <w:rPr>
          <w:rFonts w:ascii="Calibri" w:hAnsi="Calibri" w:cs="Calibri"/>
          <w:lang w:val="en-US"/>
        </w:rPr>
      </w:pPr>
      <w:r w:rsidRPr="00177DA8">
        <w:rPr>
          <w:rFonts w:ascii="Calibri" w:hAnsi="Calibri" w:cs="Calibri"/>
          <w:lang w:val="en-US"/>
        </w:rPr>
        <w:t>First</w:t>
      </w:r>
      <w:r w:rsidR="00264120" w:rsidRPr="00177DA8">
        <w:rPr>
          <w:rFonts w:ascii="Calibri" w:hAnsi="Calibri" w:cs="Calibri"/>
          <w:lang w:val="en-US"/>
        </w:rPr>
        <w:t>, for its potential to be a</w:t>
      </w:r>
      <w:r w:rsidR="002C7B36" w:rsidRPr="00177DA8">
        <w:rPr>
          <w:rFonts w:ascii="Calibri" w:hAnsi="Calibri" w:cs="Calibri"/>
          <w:lang w:val="en-US"/>
        </w:rPr>
        <w:t xml:space="preserve"> crucial tool </w:t>
      </w:r>
      <w:r w:rsidR="00FD254A" w:rsidRPr="00177DA8">
        <w:rPr>
          <w:rFonts w:ascii="Calibri" w:hAnsi="Calibri" w:cs="Calibri"/>
          <w:lang w:val="en-US"/>
        </w:rPr>
        <w:t>to counteract</w:t>
      </w:r>
      <w:r w:rsidR="002C7B36" w:rsidRPr="00177DA8">
        <w:rPr>
          <w:rFonts w:ascii="Calibri" w:hAnsi="Calibri" w:cs="Calibri"/>
          <w:lang w:val="en-US"/>
        </w:rPr>
        <w:t xml:space="preserve"> the growing mistrust in science</w:t>
      </w:r>
      <w:r w:rsidR="00264120" w:rsidRPr="00177DA8">
        <w:rPr>
          <w:rFonts w:ascii="Calibri" w:hAnsi="Calibri" w:cs="Calibri"/>
          <w:lang w:val="en-US"/>
        </w:rPr>
        <w:t>: o</w:t>
      </w:r>
      <w:r w:rsidR="00791C6D" w:rsidRPr="00177DA8">
        <w:rPr>
          <w:rFonts w:ascii="Calibri" w:hAnsi="Calibri" w:cs="Calibri"/>
          <w:lang w:val="en-US"/>
        </w:rPr>
        <w:t>pening</w:t>
      </w:r>
      <w:r w:rsidR="00EA7B2D" w:rsidRPr="00177DA8">
        <w:rPr>
          <w:rFonts w:ascii="Calibri" w:hAnsi="Calibri" w:cs="Calibri"/>
          <w:lang w:val="en-US"/>
        </w:rPr>
        <w:t xml:space="preserve"> research to </w:t>
      </w:r>
      <w:r w:rsidR="00F54D82" w:rsidRPr="00177DA8">
        <w:rPr>
          <w:rFonts w:ascii="Calibri" w:hAnsi="Calibri" w:cs="Calibri"/>
          <w:lang w:val="en-US"/>
        </w:rPr>
        <w:t>‘</w:t>
      </w:r>
      <w:r w:rsidR="00EA7B2D" w:rsidRPr="00177DA8">
        <w:rPr>
          <w:rFonts w:ascii="Calibri" w:hAnsi="Calibri" w:cs="Calibri"/>
          <w:lang w:val="en-US"/>
        </w:rPr>
        <w:t>societal actors beyond the traditional scientific community</w:t>
      </w:r>
      <w:r w:rsidR="00F54D82" w:rsidRPr="00177DA8">
        <w:rPr>
          <w:rFonts w:ascii="Calibri" w:hAnsi="Calibri" w:cs="Calibri"/>
          <w:lang w:val="en-US"/>
        </w:rPr>
        <w:t>’</w:t>
      </w:r>
      <w:r w:rsidR="00EA7B2D" w:rsidRPr="00177DA8">
        <w:rPr>
          <w:rFonts w:ascii="Calibri" w:hAnsi="Calibri" w:cs="Calibri"/>
          <w:lang w:val="en-US"/>
        </w:rPr>
        <w:t xml:space="preserve"> contribute</w:t>
      </w:r>
      <w:r w:rsidR="0056210B" w:rsidRPr="00177DA8">
        <w:rPr>
          <w:rFonts w:ascii="Calibri" w:hAnsi="Calibri" w:cs="Calibri"/>
          <w:lang w:val="en-US"/>
        </w:rPr>
        <w:t>s</w:t>
      </w:r>
      <w:r w:rsidR="00EA7B2D" w:rsidRPr="00177DA8">
        <w:rPr>
          <w:rFonts w:ascii="Calibri" w:hAnsi="Calibri" w:cs="Calibri"/>
          <w:lang w:val="en-US"/>
        </w:rPr>
        <w:t xml:space="preserve"> to a better understanding by citizens of the nature of science and scholarship</w:t>
      </w:r>
      <w:r w:rsidR="00E05136" w:rsidRPr="00177DA8">
        <w:rPr>
          <w:rFonts w:ascii="Calibri" w:hAnsi="Calibri" w:cs="Calibri"/>
          <w:lang w:val="en-US"/>
        </w:rPr>
        <w:t xml:space="preserve"> and familiarity with </w:t>
      </w:r>
      <w:r w:rsidR="00E432D8" w:rsidRPr="00177DA8">
        <w:rPr>
          <w:rFonts w:ascii="Calibri" w:hAnsi="Calibri" w:cs="Calibri"/>
          <w:lang w:val="en-US"/>
        </w:rPr>
        <w:t>its actors and processes</w:t>
      </w:r>
      <w:r w:rsidR="00EA7B2D" w:rsidRPr="00177DA8">
        <w:rPr>
          <w:rFonts w:ascii="Calibri" w:hAnsi="Calibri" w:cs="Calibri"/>
          <w:lang w:val="en-US"/>
        </w:rPr>
        <w:t>.</w:t>
      </w:r>
      <w:r w:rsidR="00D92D26" w:rsidRPr="00177DA8">
        <w:rPr>
          <w:rFonts w:ascii="Calibri" w:hAnsi="Calibri" w:cs="Calibri"/>
          <w:lang w:val="en-US"/>
        </w:rPr>
        <w:t xml:space="preserve"> </w:t>
      </w:r>
    </w:p>
    <w:p w14:paraId="362448B8" w14:textId="350636A5" w:rsidR="00C958E9" w:rsidRDefault="00F47C0E" w:rsidP="00C958E9">
      <w:pPr>
        <w:pStyle w:val="ListParagraph"/>
        <w:numPr>
          <w:ilvl w:val="0"/>
          <w:numId w:val="9"/>
        </w:numPr>
        <w:rPr>
          <w:rFonts w:ascii="Calibri" w:hAnsi="Calibri" w:cs="Calibri"/>
          <w:lang w:val="en-US"/>
        </w:rPr>
      </w:pPr>
      <w:r w:rsidRPr="00177DA8">
        <w:rPr>
          <w:rFonts w:ascii="Calibri" w:hAnsi="Calibri" w:cs="Calibri"/>
          <w:lang w:val="en-US"/>
        </w:rPr>
        <w:t xml:space="preserve">Secondly, as </w:t>
      </w:r>
      <w:r w:rsidR="00D92D26" w:rsidRPr="00177DA8">
        <w:rPr>
          <w:rFonts w:ascii="Calibri" w:hAnsi="Calibri" w:cs="Calibri"/>
          <w:lang w:val="en-US"/>
        </w:rPr>
        <w:t>a vector of fairness and equity</w:t>
      </w:r>
      <w:r w:rsidR="00D501D6" w:rsidRPr="00177DA8">
        <w:rPr>
          <w:rFonts w:ascii="Calibri" w:hAnsi="Calibri" w:cs="Calibri"/>
          <w:lang w:val="en-US"/>
        </w:rPr>
        <w:t>: removing barriers to access research data and outputs is</w:t>
      </w:r>
      <w:r w:rsidR="00697EB8" w:rsidRPr="00177DA8">
        <w:rPr>
          <w:rFonts w:ascii="Calibri" w:hAnsi="Calibri" w:cs="Calibri"/>
          <w:lang w:val="en-US"/>
        </w:rPr>
        <w:t xml:space="preserve"> essential </w:t>
      </w:r>
      <w:r w:rsidR="00507D41" w:rsidRPr="00177DA8">
        <w:rPr>
          <w:rFonts w:ascii="Calibri" w:hAnsi="Calibri" w:cs="Calibri"/>
          <w:lang w:val="en-US"/>
        </w:rPr>
        <w:t>for the</w:t>
      </w:r>
      <w:r w:rsidR="00F955E7" w:rsidRPr="00177DA8">
        <w:rPr>
          <w:rFonts w:ascii="Calibri" w:hAnsi="Calibri" w:cs="Calibri"/>
          <w:lang w:val="en-US"/>
        </w:rPr>
        <w:t xml:space="preserve"> equitable</w:t>
      </w:r>
      <w:r w:rsidR="00507D41" w:rsidRPr="00177DA8">
        <w:rPr>
          <w:rFonts w:ascii="Calibri" w:hAnsi="Calibri" w:cs="Calibri"/>
          <w:lang w:val="en-US"/>
        </w:rPr>
        <w:t xml:space="preserve"> dissemination and production of new knowledge, </w:t>
      </w:r>
      <w:r w:rsidRPr="00177DA8">
        <w:rPr>
          <w:rFonts w:ascii="Calibri" w:hAnsi="Calibri" w:cs="Calibri"/>
          <w:lang w:val="en-US"/>
        </w:rPr>
        <w:t>includin</w:t>
      </w:r>
      <w:r w:rsidR="00F20946" w:rsidRPr="00177DA8">
        <w:rPr>
          <w:rFonts w:ascii="Calibri" w:hAnsi="Calibri" w:cs="Calibri"/>
          <w:lang w:val="en-US"/>
        </w:rPr>
        <w:t>g</w:t>
      </w:r>
      <w:r w:rsidR="00A64A97" w:rsidRPr="00177DA8">
        <w:rPr>
          <w:rFonts w:ascii="Calibri" w:hAnsi="Calibri" w:cs="Calibri"/>
          <w:lang w:val="en-US"/>
        </w:rPr>
        <w:t xml:space="preserve"> in a </w:t>
      </w:r>
      <w:r w:rsidR="00F20946" w:rsidRPr="00177DA8">
        <w:rPr>
          <w:rFonts w:ascii="Calibri" w:hAnsi="Calibri" w:cs="Calibri"/>
          <w:lang w:val="en-US"/>
        </w:rPr>
        <w:t>G</w:t>
      </w:r>
      <w:r w:rsidR="00A64A97" w:rsidRPr="00177DA8">
        <w:rPr>
          <w:rFonts w:ascii="Calibri" w:hAnsi="Calibri" w:cs="Calibri"/>
          <w:lang w:val="en-US"/>
        </w:rPr>
        <w:t xml:space="preserve">lobal </w:t>
      </w:r>
      <w:r w:rsidR="00F54D82" w:rsidRPr="00177DA8">
        <w:rPr>
          <w:rFonts w:ascii="Calibri" w:hAnsi="Calibri" w:cs="Calibri"/>
          <w:lang w:val="en-US"/>
        </w:rPr>
        <w:t>N</w:t>
      </w:r>
      <w:r w:rsidR="00A64A97" w:rsidRPr="00177DA8">
        <w:rPr>
          <w:rFonts w:ascii="Calibri" w:hAnsi="Calibri" w:cs="Calibri"/>
          <w:lang w:val="en-US"/>
        </w:rPr>
        <w:t>orth-</w:t>
      </w:r>
      <w:r w:rsidR="00F54D82" w:rsidRPr="00177DA8">
        <w:rPr>
          <w:rFonts w:ascii="Calibri" w:hAnsi="Calibri" w:cs="Calibri"/>
          <w:lang w:val="en-US"/>
        </w:rPr>
        <w:t>S</w:t>
      </w:r>
      <w:r w:rsidR="00A64A97" w:rsidRPr="00177DA8">
        <w:rPr>
          <w:rFonts w:ascii="Calibri" w:hAnsi="Calibri" w:cs="Calibri"/>
          <w:lang w:val="en-US"/>
        </w:rPr>
        <w:t>outh context</w:t>
      </w:r>
      <w:r w:rsidR="00F54D82" w:rsidRPr="00177DA8">
        <w:rPr>
          <w:rFonts w:ascii="Calibri" w:hAnsi="Calibri" w:cs="Calibri"/>
          <w:lang w:val="en-US"/>
        </w:rPr>
        <w:t xml:space="preserve"> – e.g. </w:t>
      </w:r>
      <w:r w:rsidR="00A64A97" w:rsidRPr="00177DA8">
        <w:rPr>
          <w:rFonts w:ascii="Calibri" w:hAnsi="Calibri" w:cs="Calibri"/>
          <w:lang w:val="en-US"/>
        </w:rPr>
        <w:t xml:space="preserve">when access to </w:t>
      </w:r>
      <w:r w:rsidR="00F955E7" w:rsidRPr="00177DA8">
        <w:rPr>
          <w:rFonts w:ascii="Calibri" w:hAnsi="Calibri" w:cs="Calibri"/>
          <w:lang w:val="en-US"/>
        </w:rPr>
        <w:t>publications</w:t>
      </w:r>
      <w:r w:rsidR="00A64A97" w:rsidRPr="00177DA8">
        <w:rPr>
          <w:rFonts w:ascii="Calibri" w:hAnsi="Calibri" w:cs="Calibri"/>
          <w:lang w:val="en-US"/>
        </w:rPr>
        <w:t xml:space="preserve"> and datasets is not restricted behind a paywall profiting large publishing corporations</w:t>
      </w:r>
      <w:r w:rsidR="00FC452B" w:rsidRPr="00177DA8">
        <w:rPr>
          <w:rFonts w:ascii="Calibri" w:hAnsi="Calibri" w:cs="Calibri"/>
          <w:lang w:val="en-US"/>
        </w:rPr>
        <w:t>,</w:t>
      </w:r>
      <w:r w:rsidR="00FA3A60" w:rsidRPr="00177DA8">
        <w:rPr>
          <w:rFonts w:ascii="Calibri" w:hAnsi="Calibri" w:cs="Calibri"/>
          <w:lang w:val="en-US"/>
        </w:rPr>
        <w:t xml:space="preserve"> but free to anyone independently of their means.</w:t>
      </w:r>
    </w:p>
    <w:p w14:paraId="69B2DD9E" w14:textId="77777777" w:rsidR="009E7302" w:rsidRPr="009E7302" w:rsidRDefault="009E7302" w:rsidP="009E7302">
      <w:pPr>
        <w:rPr>
          <w:rFonts w:ascii="Calibri" w:hAnsi="Calibri" w:cs="Calibri"/>
          <w:lang w:val="en-US"/>
        </w:rPr>
      </w:pPr>
    </w:p>
    <w:p w14:paraId="0663BB58" w14:textId="3FFD66B6" w:rsidR="00271C42" w:rsidRPr="00C958E9" w:rsidRDefault="00C958E9" w:rsidP="00271C42">
      <w:pPr>
        <w:pStyle w:val="ListParagraph"/>
        <w:numPr>
          <w:ilvl w:val="1"/>
          <w:numId w:val="1"/>
        </w:numPr>
        <w:rPr>
          <w:rFonts w:ascii="Calibri" w:hAnsi="Calibri" w:cs="Calibri"/>
          <w:b/>
          <w:bCs/>
          <w:lang w:val="en-US"/>
        </w:rPr>
      </w:pPr>
      <w:r w:rsidRPr="00C958E9">
        <w:rPr>
          <w:rFonts w:ascii="Calibri" w:hAnsi="Calibri" w:cs="Calibri"/>
          <w:b/>
          <w:bCs/>
          <w:lang w:val="en-US"/>
        </w:rPr>
        <w:t xml:space="preserve">Open Research </w:t>
      </w:r>
      <w:r w:rsidR="002F2F54">
        <w:rPr>
          <w:rFonts w:ascii="Calibri" w:hAnsi="Calibri" w:cs="Calibri"/>
          <w:b/>
          <w:bCs/>
          <w:lang w:val="en-US"/>
        </w:rPr>
        <w:t xml:space="preserve">– definitions </w:t>
      </w:r>
      <w:r w:rsidRPr="00C958E9">
        <w:rPr>
          <w:rFonts w:ascii="Calibri" w:hAnsi="Calibri" w:cs="Calibri"/>
          <w:b/>
          <w:bCs/>
          <w:lang w:val="en-US"/>
        </w:rPr>
        <w:t>in the EU and national policy contexts</w:t>
      </w:r>
    </w:p>
    <w:p w14:paraId="589C4D71" w14:textId="77777777" w:rsidR="002F2F54" w:rsidRDefault="007B4354" w:rsidP="00D065F6">
      <w:pPr>
        <w:spacing w:after="0"/>
        <w:rPr>
          <w:rFonts w:ascii="Calibri" w:hAnsi="Calibri" w:cs="Calibri"/>
          <w:lang w:val="en-US"/>
        </w:rPr>
      </w:pPr>
      <w:r w:rsidRPr="000245F1">
        <w:rPr>
          <w:rFonts w:ascii="Calibri" w:hAnsi="Calibri" w:cs="Calibri"/>
          <w:lang w:val="en-US"/>
        </w:rPr>
        <w:t xml:space="preserve">The trend calling for </w:t>
      </w:r>
      <w:r w:rsidR="005347CB" w:rsidRPr="000245F1">
        <w:rPr>
          <w:rFonts w:ascii="Calibri" w:hAnsi="Calibri" w:cs="Calibri"/>
          <w:lang w:val="en-US"/>
        </w:rPr>
        <w:t>O</w:t>
      </w:r>
      <w:r w:rsidRPr="000245F1">
        <w:rPr>
          <w:rFonts w:ascii="Calibri" w:hAnsi="Calibri" w:cs="Calibri"/>
          <w:lang w:val="en-US"/>
        </w:rPr>
        <w:t xml:space="preserve">pen </w:t>
      </w:r>
      <w:r w:rsidR="005347CB" w:rsidRPr="000245F1">
        <w:rPr>
          <w:rFonts w:ascii="Calibri" w:hAnsi="Calibri" w:cs="Calibri"/>
          <w:lang w:val="en-US"/>
        </w:rPr>
        <w:t>R</w:t>
      </w:r>
      <w:r w:rsidRPr="000245F1">
        <w:rPr>
          <w:rFonts w:ascii="Calibri" w:hAnsi="Calibri" w:cs="Calibri"/>
          <w:lang w:val="en-US"/>
        </w:rPr>
        <w:t xml:space="preserve">esearch has been growing nationally and internationally for the last two decades, together with the range of practices that </w:t>
      </w:r>
      <w:r w:rsidR="00144F2D" w:rsidRPr="000245F1">
        <w:rPr>
          <w:rFonts w:ascii="Calibri" w:hAnsi="Calibri" w:cs="Calibri"/>
          <w:lang w:val="en-US"/>
        </w:rPr>
        <w:t xml:space="preserve">the </w:t>
      </w:r>
      <w:r w:rsidRPr="000245F1">
        <w:rPr>
          <w:rFonts w:ascii="Calibri" w:hAnsi="Calibri" w:cs="Calibri"/>
          <w:lang w:val="en-US"/>
        </w:rPr>
        <w:t>term encompasses</w:t>
      </w:r>
      <w:r w:rsidR="00A2370F" w:rsidRPr="000245F1">
        <w:rPr>
          <w:rFonts w:ascii="Calibri" w:hAnsi="Calibri" w:cs="Calibri"/>
          <w:lang w:val="en-US"/>
        </w:rPr>
        <w:t xml:space="preserve">. </w:t>
      </w:r>
    </w:p>
    <w:p w14:paraId="711A6DCF" w14:textId="40D7436E" w:rsidR="0049116F" w:rsidRDefault="00181DC1" w:rsidP="00D065F6">
      <w:pPr>
        <w:spacing w:after="0"/>
        <w:rPr>
          <w:rFonts w:ascii="Calibri" w:hAnsi="Calibri" w:cs="Calibri"/>
          <w:lang w:val="en-US"/>
        </w:rPr>
      </w:pPr>
      <w:r>
        <w:rPr>
          <w:rFonts w:ascii="Calibri" w:hAnsi="Calibri" w:cs="Calibri"/>
          <w:lang w:val="en-US"/>
        </w:rPr>
        <w:lastRenderedPageBreak/>
        <w:t xml:space="preserve">In </w:t>
      </w:r>
      <w:r w:rsidRPr="00BB7ADC">
        <w:rPr>
          <w:rFonts w:ascii="Calibri" w:hAnsi="Calibri" w:cs="Calibri"/>
          <w:b/>
          <w:bCs/>
          <w:lang w:val="en-US"/>
        </w:rPr>
        <w:t>2018</w:t>
      </w:r>
      <w:r>
        <w:rPr>
          <w:rFonts w:ascii="Calibri" w:hAnsi="Calibri" w:cs="Calibri"/>
          <w:lang w:val="en-US"/>
        </w:rPr>
        <w:t xml:space="preserve">, the European Commission </w:t>
      </w:r>
      <w:r w:rsidR="00A64D01">
        <w:rPr>
          <w:rFonts w:ascii="Calibri" w:hAnsi="Calibri" w:cs="Calibri"/>
          <w:lang w:val="en-US"/>
        </w:rPr>
        <w:t>articulated its understanding of</w:t>
      </w:r>
      <w:r>
        <w:rPr>
          <w:rFonts w:ascii="Calibri" w:hAnsi="Calibri" w:cs="Calibri"/>
          <w:lang w:val="en-US"/>
        </w:rPr>
        <w:t xml:space="preserve"> </w:t>
      </w:r>
      <w:r w:rsidR="00F63483">
        <w:rPr>
          <w:rFonts w:ascii="Calibri" w:hAnsi="Calibri" w:cs="Calibri"/>
          <w:lang w:val="en-US"/>
        </w:rPr>
        <w:t xml:space="preserve">Open Research around </w:t>
      </w:r>
      <w:r w:rsidR="00F63483" w:rsidRPr="00BB7ADC">
        <w:rPr>
          <w:rFonts w:ascii="Calibri" w:hAnsi="Calibri" w:cs="Calibri"/>
          <w:b/>
          <w:bCs/>
          <w:lang w:val="en-US"/>
        </w:rPr>
        <w:t>5 themes</w:t>
      </w:r>
      <w:r w:rsidR="00A64D01">
        <w:rPr>
          <w:rFonts w:ascii="Calibri" w:hAnsi="Calibri" w:cs="Calibri"/>
          <w:lang w:val="en-US"/>
        </w:rPr>
        <w:t>:</w:t>
      </w:r>
      <w:r w:rsidR="00F63483">
        <w:rPr>
          <w:rStyle w:val="FootnoteReference"/>
          <w:rFonts w:ascii="Calibri" w:hAnsi="Calibri" w:cs="Calibri"/>
          <w:lang w:val="en-US"/>
        </w:rPr>
        <w:footnoteReference w:id="2"/>
      </w:r>
    </w:p>
    <w:p w14:paraId="303CA2BE" w14:textId="76155065" w:rsidR="00F63483" w:rsidRPr="001F7C14" w:rsidRDefault="001F7C14" w:rsidP="00D065F6">
      <w:pPr>
        <w:pStyle w:val="ListParagraph"/>
        <w:numPr>
          <w:ilvl w:val="0"/>
          <w:numId w:val="12"/>
        </w:numPr>
        <w:spacing w:after="0"/>
        <w:rPr>
          <w:rFonts w:ascii="Calibri" w:hAnsi="Calibri" w:cs="Calibri"/>
          <w:lang w:val="en-US"/>
        </w:rPr>
      </w:pPr>
      <w:r>
        <w:t>Open access to scientific publications,</w:t>
      </w:r>
    </w:p>
    <w:p w14:paraId="406B191D" w14:textId="19D68A43" w:rsidR="001F7C14" w:rsidRPr="00F0110B" w:rsidRDefault="00F0110B" w:rsidP="00D065F6">
      <w:pPr>
        <w:pStyle w:val="ListParagraph"/>
        <w:numPr>
          <w:ilvl w:val="0"/>
          <w:numId w:val="12"/>
        </w:numPr>
        <w:spacing w:after="0"/>
        <w:rPr>
          <w:rFonts w:ascii="Calibri" w:hAnsi="Calibri" w:cs="Calibri"/>
          <w:lang w:val="en-US"/>
        </w:rPr>
      </w:pPr>
      <w:r>
        <w:t>Management of research data, including open access,</w:t>
      </w:r>
    </w:p>
    <w:p w14:paraId="79F5D6E0" w14:textId="4BF6E746" w:rsidR="00F0110B" w:rsidRPr="00F0110B" w:rsidRDefault="00F0110B" w:rsidP="00D065F6">
      <w:pPr>
        <w:pStyle w:val="ListParagraph"/>
        <w:numPr>
          <w:ilvl w:val="0"/>
          <w:numId w:val="12"/>
        </w:numPr>
        <w:spacing w:after="0"/>
        <w:rPr>
          <w:rFonts w:ascii="Calibri" w:hAnsi="Calibri" w:cs="Calibri"/>
          <w:lang w:val="en-US"/>
        </w:rPr>
      </w:pPr>
      <w:r>
        <w:t>Preservation and re-use of scientific information,</w:t>
      </w:r>
    </w:p>
    <w:p w14:paraId="311E5483" w14:textId="172CC5CC" w:rsidR="00F0110B" w:rsidRPr="00983FFB" w:rsidRDefault="00983FFB" w:rsidP="00D065F6">
      <w:pPr>
        <w:pStyle w:val="ListParagraph"/>
        <w:numPr>
          <w:ilvl w:val="0"/>
          <w:numId w:val="12"/>
        </w:numPr>
        <w:spacing w:after="0"/>
        <w:rPr>
          <w:rFonts w:ascii="Calibri" w:hAnsi="Calibri" w:cs="Calibri"/>
          <w:lang w:val="en-US"/>
        </w:rPr>
      </w:pPr>
      <w:r>
        <w:t>Infrastructures for open science,</w:t>
      </w:r>
    </w:p>
    <w:p w14:paraId="224EF78B" w14:textId="52927B50" w:rsidR="00983FFB" w:rsidRPr="00983FFB" w:rsidRDefault="00983FFB" w:rsidP="001F7C14">
      <w:pPr>
        <w:pStyle w:val="ListParagraph"/>
        <w:numPr>
          <w:ilvl w:val="0"/>
          <w:numId w:val="12"/>
        </w:numPr>
        <w:rPr>
          <w:rFonts w:ascii="Calibri" w:hAnsi="Calibri" w:cs="Calibri"/>
          <w:lang w:val="en-US"/>
        </w:rPr>
      </w:pPr>
      <w:r>
        <w:t>Skills and competences,</w:t>
      </w:r>
    </w:p>
    <w:p w14:paraId="64B33F18" w14:textId="44B1DE21" w:rsidR="00983FFB" w:rsidRPr="001F7C14" w:rsidRDefault="00983FFB" w:rsidP="00D065F6">
      <w:pPr>
        <w:pStyle w:val="ListParagraph"/>
        <w:numPr>
          <w:ilvl w:val="0"/>
          <w:numId w:val="12"/>
        </w:numPr>
        <w:spacing w:after="0"/>
        <w:rPr>
          <w:rFonts w:ascii="Calibri" w:hAnsi="Calibri" w:cs="Calibri"/>
          <w:lang w:val="en-US"/>
        </w:rPr>
      </w:pPr>
      <w:r>
        <w:t>Incentives and rewards.</w:t>
      </w:r>
    </w:p>
    <w:p w14:paraId="1589FFDF" w14:textId="77777777" w:rsidR="00F63483" w:rsidRDefault="00F63483" w:rsidP="00D065F6">
      <w:pPr>
        <w:spacing w:after="0"/>
        <w:rPr>
          <w:rFonts w:ascii="Calibri" w:hAnsi="Calibri" w:cs="Calibri"/>
          <w:lang w:val="en-US"/>
        </w:rPr>
      </w:pPr>
    </w:p>
    <w:p w14:paraId="5ED83A50" w14:textId="0E680580" w:rsidR="006B2B3C" w:rsidRDefault="00A64D01" w:rsidP="00D065F6">
      <w:pPr>
        <w:spacing w:after="0"/>
        <w:rPr>
          <w:rFonts w:ascii="Calibri" w:hAnsi="Calibri" w:cs="Calibri"/>
          <w:lang w:val="en-US"/>
        </w:rPr>
      </w:pPr>
      <w:r w:rsidRPr="00BB7ADC">
        <w:rPr>
          <w:rFonts w:ascii="Calibri" w:hAnsi="Calibri" w:cs="Calibri"/>
          <w:b/>
          <w:bCs/>
          <w:lang w:val="en-US"/>
        </w:rPr>
        <w:t>Those were adopted by Ireland’s National Open Research Forum (NORF)</w:t>
      </w:r>
      <w:r>
        <w:rPr>
          <w:rFonts w:ascii="Calibri" w:hAnsi="Calibri" w:cs="Calibri"/>
          <w:lang w:val="en-US"/>
        </w:rPr>
        <w:t xml:space="preserve"> in 2019 and </w:t>
      </w:r>
      <w:r w:rsidR="00A410CB">
        <w:rPr>
          <w:rFonts w:ascii="Calibri" w:hAnsi="Calibri" w:cs="Calibri"/>
          <w:lang w:val="en-US"/>
        </w:rPr>
        <w:t>are still used by NORF</w:t>
      </w:r>
      <w:r w:rsidR="00357AA0">
        <w:rPr>
          <w:rFonts w:ascii="Calibri" w:hAnsi="Calibri" w:cs="Calibri"/>
          <w:lang w:val="en-US"/>
        </w:rPr>
        <w:t>.</w:t>
      </w:r>
    </w:p>
    <w:p w14:paraId="08D1A3C1" w14:textId="77777777" w:rsidR="00357AA0" w:rsidRDefault="00357AA0" w:rsidP="00D065F6">
      <w:pPr>
        <w:spacing w:after="0"/>
        <w:rPr>
          <w:rFonts w:ascii="Calibri" w:hAnsi="Calibri" w:cs="Calibri"/>
          <w:lang w:val="en-US"/>
        </w:rPr>
      </w:pPr>
    </w:p>
    <w:p w14:paraId="22A491D4" w14:textId="6BE663F7" w:rsidR="005131CF" w:rsidRPr="000009D0" w:rsidRDefault="00E72E87" w:rsidP="000009D0">
      <w:pPr>
        <w:spacing w:after="0"/>
        <w:rPr>
          <w:rFonts w:ascii="Calibri" w:hAnsi="Calibri" w:cs="Calibri"/>
          <w:lang w:val="en-US"/>
        </w:rPr>
      </w:pPr>
      <w:r>
        <w:rPr>
          <w:rFonts w:ascii="Calibri" w:hAnsi="Calibri" w:cs="Calibri"/>
          <w:lang w:val="en-US"/>
        </w:rPr>
        <w:t xml:space="preserve">In </w:t>
      </w:r>
      <w:r w:rsidRPr="00BB7ADC">
        <w:rPr>
          <w:rFonts w:ascii="Calibri" w:hAnsi="Calibri" w:cs="Calibri"/>
          <w:b/>
          <w:bCs/>
          <w:lang w:val="en-US"/>
        </w:rPr>
        <w:t>20</w:t>
      </w:r>
      <w:r w:rsidR="009D0863" w:rsidRPr="00BB7ADC">
        <w:rPr>
          <w:rFonts w:ascii="Calibri" w:hAnsi="Calibri" w:cs="Calibri"/>
          <w:b/>
          <w:bCs/>
          <w:lang w:val="en-US"/>
        </w:rPr>
        <w:t>20</w:t>
      </w:r>
      <w:r>
        <w:rPr>
          <w:rFonts w:ascii="Calibri" w:hAnsi="Calibri" w:cs="Calibri"/>
          <w:lang w:val="en-US"/>
        </w:rPr>
        <w:t xml:space="preserve">, the European Commission expanded its definition of Open Research </w:t>
      </w:r>
      <w:r w:rsidR="006D4018">
        <w:rPr>
          <w:rFonts w:ascii="Calibri" w:hAnsi="Calibri" w:cs="Calibri"/>
          <w:lang w:val="en-US"/>
        </w:rPr>
        <w:t>to</w:t>
      </w:r>
      <w:r>
        <w:rPr>
          <w:rFonts w:ascii="Calibri" w:hAnsi="Calibri" w:cs="Calibri"/>
          <w:lang w:val="en-US"/>
        </w:rPr>
        <w:t xml:space="preserve"> </w:t>
      </w:r>
      <w:r w:rsidRPr="00BB7ADC">
        <w:rPr>
          <w:rFonts w:ascii="Calibri" w:hAnsi="Calibri" w:cs="Calibri"/>
          <w:b/>
          <w:bCs/>
          <w:lang w:val="en-US"/>
        </w:rPr>
        <w:t>8 Pillars</w:t>
      </w:r>
      <w:r w:rsidR="009D0863">
        <w:rPr>
          <w:rFonts w:ascii="Calibri" w:hAnsi="Calibri" w:cs="Calibri"/>
          <w:lang w:val="en-US"/>
        </w:rPr>
        <w:t>, following the publication of the final report from the</w:t>
      </w:r>
      <w:r w:rsidR="005131CF">
        <w:rPr>
          <w:rFonts w:ascii="Calibri" w:hAnsi="Calibri" w:cs="Calibri"/>
          <w:lang w:val="en-US"/>
        </w:rPr>
        <w:t xml:space="preserve"> European</w:t>
      </w:r>
      <w:r w:rsidR="009D0863">
        <w:rPr>
          <w:rFonts w:ascii="Calibri" w:hAnsi="Calibri" w:cs="Calibri"/>
          <w:lang w:val="en-US"/>
        </w:rPr>
        <w:t xml:space="preserve"> Open Science Policy Platform</w:t>
      </w:r>
      <w:r w:rsidR="00833D7A">
        <w:rPr>
          <w:rFonts w:ascii="Calibri" w:hAnsi="Calibri" w:cs="Calibri"/>
          <w:lang w:val="en-US"/>
        </w:rPr>
        <w:t xml:space="preserve">, </w:t>
      </w:r>
      <w:r w:rsidR="000009D0">
        <w:rPr>
          <w:rFonts w:ascii="Calibri" w:hAnsi="Calibri" w:cs="Calibri"/>
          <w:lang w:val="en-US"/>
        </w:rPr>
        <w:t>‘</w:t>
      </w:r>
      <w:r w:rsidR="000009D0" w:rsidRPr="000009D0">
        <w:rPr>
          <w:rFonts w:ascii="Calibri" w:hAnsi="Calibri" w:cs="Calibri"/>
          <w:lang w:val="en-US"/>
        </w:rPr>
        <w:t>Progress on open science</w:t>
      </w:r>
      <w:r w:rsidR="000009D0">
        <w:rPr>
          <w:rFonts w:ascii="Calibri" w:hAnsi="Calibri" w:cs="Calibri"/>
          <w:lang w:val="en-US"/>
        </w:rPr>
        <w:t xml:space="preserve">: </w:t>
      </w:r>
      <w:r w:rsidR="000009D0" w:rsidRPr="000009D0">
        <w:rPr>
          <w:rFonts w:ascii="Calibri" w:hAnsi="Calibri" w:cs="Calibri"/>
          <w:lang w:val="en-US"/>
        </w:rPr>
        <w:t>Towards a shared research knowledge system</w:t>
      </w:r>
      <w:r w:rsidR="000009D0">
        <w:rPr>
          <w:rFonts w:ascii="Calibri" w:hAnsi="Calibri" w:cs="Calibri"/>
          <w:lang w:val="en-US"/>
        </w:rPr>
        <w:t>’</w:t>
      </w:r>
      <w:r w:rsidR="006D4018">
        <w:rPr>
          <w:rFonts w:ascii="Calibri" w:hAnsi="Calibri" w:cs="Calibri"/>
          <w:lang w:val="en-US"/>
        </w:rPr>
        <w:t>.</w:t>
      </w:r>
      <w:r w:rsidR="00833D7A">
        <w:rPr>
          <w:rStyle w:val="FootnoteReference"/>
          <w:rFonts w:ascii="Calibri" w:hAnsi="Calibri" w:cs="Calibri"/>
          <w:lang w:val="en-US"/>
        </w:rPr>
        <w:footnoteReference w:id="3"/>
      </w:r>
      <w:r w:rsidR="006D4018">
        <w:rPr>
          <w:rFonts w:ascii="Calibri" w:hAnsi="Calibri" w:cs="Calibri"/>
          <w:lang w:val="en-US"/>
        </w:rPr>
        <w:t xml:space="preserve"> The 8 Pillars were as follows:</w:t>
      </w:r>
      <w:r w:rsidR="005131CF">
        <w:rPr>
          <w:rFonts w:ascii="Calibri" w:hAnsi="Calibri" w:cs="Calibri"/>
          <w:lang w:val="en-US"/>
        </w:rPr>
        <w:t xml:space="preserve"> </w:t>
      </w:r>
    </w:p>
    <w:p w14:paraId="0857A516" w14:textId="63FAABFA" w:rsidR="00E72E87" w:rsidRPr="005131CF" w:rsidRDefault="00E72E87" w:rsidP="005131CF">
      <w:pPr>
        <w:pStyle w:val="ListParagraph"/>
        <w:numPr>
          <w:ilvl w:val="0"/>
          <w:numId w:val="14"/>
        </w:numPr>
        <w:spacing w:after="0"/>
        <w:rPr>
          <w:rFonts w:ascii="Calibri" w:hAnsi="Calibri" w:cs="Calibri"/>
          <w:lang w:val="en-US"/>
        </w:rPr>
      </w:pPr>
      <w:r w:rsidRPr="005131CF">
        <w:rPr>
          <w:rFonts w:ascii="Calibri" w:hAnsi="Calibri" w:cs="Calibri"/>
        </w:rPr>
        <w:t xml:space="preserve">Future of scholarly publishing, </w:t>
      </w:r>
    </w:p>
    <w:p w14:paraId="2F161E7D" w14:textId="77777777" w:rsidR="00E72E87" w:rsidRPr="00E72E87"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 xml:space="preserve">FAIR data, </w:t>
      </w:r>
    </w:p>
    <w:p w14:paraId="50DE3E34" w14:textId="77777777" w:rsidR="00E72E87" w:rsidRPr="00E72E87"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 xml:space="preserve">European Open Science Cloud (EOSC), </w:t>
      </w:r>
    </w:p>
    <w:p w14:paraId="550EA792" w14:textId="77777777" w:rsidR="00E72E87" w:rsidRPr="00E72E87"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 xml:space="preserve">Education and skills, </w:t>
      </w:r>
    </w:p>
    <w:p w14:paraId="549E1318" w14:textId="77777777" w:rsidR="00E72E87" w:rsidRPr="00E72E87"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 xml:space="preserve">Rewards and incentives, </w:t>
      </w:r>
    </w:p>
    <w:p w14:paraId="34143EA3" w14:textId="77777777" w:rsidR="00E72E87" w:rsidRPr="00E72E87"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 xml:space="preserve">Next-generation metrics, </w:t>
      </w:r>
    </w:p>
    <w:p w14:paraId="163BF5DE" w14:textId="77777777" w:rsidR="00E72E87" w:rsidRPr="00E72E87"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 xml:space="preserve">Research integrity, </w:t>
      </w:r>
    </w:p>
    <w:p w14:paraId="29BADB89" w14:textId="1553FA2D" w:rsidR="00E72E87" w:rsidRPr="006D4018" w:rsidRDefault="00E72E87" w:rsidP="00E72E87">
      <w:pPr>
        <w:pStyle w:val="ListParagraph"/>
        <w:numPr>
          <w:ilvl w:val="0"/>
          <w:numId w:val="13"/>
        </w:numPr>
        <w:spacing w:after="0"/>
        <w:rPr>
          <w:rFonts w:ascii="Calibri" w:hAnsi="Calibri" w:cs="Calibri"/>
          <w:lang w:val="en-US"/>
        </w:rPr>
      </w:pPr>
      <w:r w:rsidRPr="00E72E87">
        <w:rPr>
          <w:rFonts w:ascii="Calibri" w:hAnsi="Calibri" w:cs="Calibri"/>
        </w:rPr>
        <w:t>Citizen science.</w:t>
      </w:r>
    </w:p>
    <w:p w14:paraId="0B2AC8DA" w14:textId="77777777" w:rsidR="006D4018" w:rsidRDefault="006D4018" w:rsidP="00D065F6">
      <w:pPr>
        <w:spacing w:after="0"/>
        <w:rPr>
          <w:rFonts w:ascii="Calibri" w:hAnsi="Calibri" w:cs="Calibri"/>
          <w:lang w:val="en-US"/>
        </w:rPr>
      </w:pPr>
    </w:p>
    <w:p w14:paraId="08E64A95" w14:textId="4351946F" w:rsidR="00E72E87" w:rsidRDefault="00D520B9" w:rsidP="00D065F6">
      <w:pPr>
        <w:spacing w:after="0"/>
        <w:rPr>
          <w:rFonts w:ascii="Calibri" w:hAnsi="Calibri" w:cs="Calibri"/>
          <w:lang w:val="en-US"/>
        </w:rPr>
      </w:pPr>
      <w:r>
        <w:rPr>
          <w:rFonts w:ascii="Calibri" w:hAnsi="Calibri" w:cs="Calibri"/>
          <w:lang w:val="en-US"/>
        </w:rPr>
        <w:t xml:space="preserve">This was further superseded by the </w:t>
      </w:r>
      <w:r w:rsidR="00B019FF">
        <w:rPr>
          <w:rFonts w:ascii="Calibri" w:hAnsi="Calibri" w:cs="Calibri"/>
          <w:lang w:val="en-US"/>
        </w:rPr>
        <w:t xml:space="preserve">adoption in the </w:t>
      </w:r>
      <w:hyperlink r:id="rId8" w:history="1">
        <w:r w:rsidR="00BB7ADC" w:rsidRPr="000245F1">
          <w:rPr>
            <w:rStyle w:val="Hyperlink"/>
            <w:rFonts w:ascii="Calibri" w:hAnsi="Calibri" w:cs="Calibri"/>
          </w:rPr>
          <w:t>E</w:t>
        </w:r>
        <w:r w:rsidR="00AD3997">
          <w:rPr>
            <w:rStyle w:val="Hyperlink"/>
            <w:rFonts w:ascii="Calibri" w:hAnsi="Calibri" w:cs="Calibri"/>
          </w:rPr>
          <w:t xml:space="preserve">uropean </w:t>
        </w:r>
        <w:proofErr w:type="spellStart"/>
        <w:r w:rsidR="00BB7ADC" w:rsidRPr="000245F1">
          <w:rPr>
            <w:rStyle w:val="Hyperlink"/>
            <w:rFonts w:ascii="Calibri" w:hAnsi="Calibri" w:cs="Calibri"/>
          </w:rPr>
          <w:t>C</w:t>
        </w:r>
        <w:r w:rsidR="00AD3997">
          <w:rPr>
            <w:rStyle w:val="Hyperlink"/>
            <w:rFonts w:ascii="Calibri" w:hAnsi="Calibri" w:cs="Calibri"/>
          </w:rPr>
          <w:t>ommision</w:t>
        </w:r>
        <w:r w:rsidR="00BB7ADC" w:rsidRPr="000245F1">
          <w:rPr>
            <w:rStyle w:val="Hyperlink"/>
            <w:rFonts w:ascii="Calibri" w:hAnsi="Calibri" w:cs="Calibri"/>
          </w:rPr>
          <w:t>’s</w:t>
        </w:r>
        <w:proofErr w:type="spellEnd"/>
        <w:r w:rsidR="00BB7ADC" w:rsidRPr="000245F1">
          <w:rPr>
            <w:rStyle w:val="Hyperlink"/>
            <w:rFonts w:ascii="Calibri" w:hAnsi="Calibri" w:cs="Calibri"/>
          </w:rPr>
          <w:t xml:space="preserve"> Strategy of Research and Innovation 2020-2024</w:t>
        </w:r>
      </w:hyperlink>
      <w:r w:rsidR="00BB7ADC">
        <w:rPr>
          <w:rFonts w:ascii="Calibri" w:hAnsi="Calibri" w:cs="Calibri"/>
        </w:rPr>
        <w:t xml:space="preserve"> </w:t>
      </w:r>
      <w:r w:rsidR="00B019FF">
        <w:rPr>
          <w:rFonts w:ascii="Calibri" w:hAnsi="Calibri" w:cs="Calibri"/>
          <w:lang w:val="en-US"/>
        </w:rPr>
        <w:t xml:space="preserve">of the distinction between </w:t>
      </w:r>
      <w:r w:rsidR="00B019FF" w:rsidRPr="00BB7ADC">
        <w:rPr>
          <w:rFonts w:ascii="Calibri" w:hAnsi="Calibri" w:cs="Calibri"/>
          <w:b/>
          <w:bCs/>
          <w:lang w:val="en-US"/>
        </w:rPr>
        <w:t xml:space="preserve">Open Science </w:t>
      </w:r>
      <w:r w:rsidR="00AD3997">
        <w:rPr>
          <w:rFonts w:ascii="Calibri" w:hAnsi="Calibri" w:cs="Calibri"/>
          <w:b/>
          <w:bCs/>
          <w:lang w:val="en-US"/>
        </w:rPr>
        <w:t>Practices</w:t>
      </w:r>
      <w:r w:rsidR="00B019FF" w:rsidRPr="00BB7ADC">
        <w:rPr>
          <w:rFonts w:ascii="Calibri" w:hAnsi="Calibri" w:cs="Calibri"/>
          <w:b/>
          <w:bCs/>
          <w:lang w:val="en-US"/>
        </w:rPr>
        <w:t xml:space="preserve"> and </w:t>
      </w:r>
      <w:r w:rsidR="00AD3997">
        <w:rPr>
          <w:rFonts w:ascii="Calibri" w:hAnsi="Calibri" w:cs="Calibri"/>
          <w:b/>
          <w:bCs/>
          <w:lang w:val="en-US"/>
        </w:rPr>
        <w:t>Enablers</w:t>
      </w:r>
      <w:r w:rsidR="00BB7ADC">
        <w:rPr>
          <w:rFonts w:ascii="Calibri" w:hAnsi="Calibri" w:cs="Calibri"/>
          <w:b/>
          <w:bCs/>
          <w:lang w:val="en-US"/>
        </w:rPr>
        <w:t>.</w:t>
      </w:r>
    </w:p>
    <w:p w14:paraId="3E09C0F5" w14:textId="77777777" w:rsidR="00B019FF" w:rsidRPr="00B019FF" w:rsidRDefault="00B019FF" w:rsidP="00B019FF">
      <w:pPr>
        <w:rPr>
          <w:rFonts w:ascii="Calibri" w:hAnsi="Calibri" w:cs="Calibri"/>
        </w:rPr>
      </w:pPr>
    </w:p>
    <w:tbl>
      <w:tblPr>
        <w:tblStyle w:val="TableGrid"/>
        <w:tblW w:w="0" w:type="auto"/>
        <w:shd w:val="clear" w:color="auto" w:fill="D9D9D9" w:themeFill="background1" w:themeFillShade="D9"/>
        <w:tblLook w:val="04A0" w:firstRow="1" w:lastRow="0" w:firstColumn="1" w:lastColumn="0" w:noHBand="0" w:noVBand="1"/>
      </w:tblPr>
      <w:tblGrid>
        <w:gridCol w:w="4508"/>
        <w:gridCol w:w="4508"/>
      </w:tblGrid>
      <w:tr w:rsidR="00B019FF" w:rsidRPr="000245F1" w14:paraId="2139B658" w14:textId="77777777" w:rsidTr="004C6E3D">
        <w:tc>
          <w:tcPr>
            <w:tcW w:w="4508" w:type="dxa"/>
            <w:shd w:val="clear" w:color="auto" w:fill="D9D9D9" w:themeFill="background1" w:themeFillShade="D9"/>
          </w:tcPr>
          <w:p w14:paraId="173C4B73" w14:textId="77777777" w:rsidR="00B019FF" w:rsidRPr="000245F1" w:rsidRDefault="00B019FF" w:rsidP="004C6E3D">
            <w:pPr>
              <w:jc w:val="center"/>
              <w:rPr>
                <w:rFonts w:ascii="Calibri" w:hAnsi="Calibri" w:cs="Calibri"/>
                <w:b/>
                <w:bCs/>
                <w:i/>
                <w:iCs/>
                <w:sz w:val="22"/>
                <w:szCs w:val="22"/>
              </w:rPr>
            </w:pPr>
            <w:r w:rsidRPr="000245F1">
              <w:rPr>
                <w:rFonts w:ascii="Calibri" w:hAnsi="Calibri" w:cs="Calibri"/>
                <w:b/>
                <w:bCs/>
                <w:i/>
                <w:iCs/>
                <w:sz w:val="22"/>
                <w:szCs w:val="22"/>
              </w:rPr>
              <w:t>Open Science Practices</w:t>
            </w:r>
          </w:p>
        </w:tc>
        <w:tc>
          <w:tcPr>
            <w:tcW w:w="4508" w:type="dxa"/>
            <w:shd w:val="clear" w:color="auto" w:fill="D9D9D9" w:themeFill="background1" w:themeFillShade="D9"/>
          </w:tcPr>
          <w:p w14:paraId="7F274973" w14:textId="77777777" w:rsidR="00B019FF" w:rsidRPr="000245F1" w:rsidRDefault="00B019FF" w:rsidP="004C6E3D">
            <w:pPr>
              <w:jc w:val="center"/>
              <w:rPr>
                <w:rFonts w:ascii="Calibri" w:hAnsi="Calibri" w:cs="Calibri"/>
                <w:b/>
                <w:bCs/>
                <w:i/>
                <w:iCs/>
                <w:sz w:val="22"/>
                <w:szCs w:val="22"/>
              </w:rPr>
            </w:pPr>
            <w:r w:rsidRPr="000245F1">
              <w:rPr>
                <w:rFonts w:ascii="Calibri" w:hAnsi="Calibri" w:cs="Calibri"/>
                <w:b/>
                <w:bCs/>
                <w:i/>
                <w:iCs/>
                <w:sz w:val="22"/>
                <w:szCs w:val="22"/>
              </w:rPr>
              <w:t>Open Science Enablers</w:t>
            </w:r>
          </w:p>
        </w:tc>
      </w:tr>
      <w:tr w:rsidR="00B019FF" w:rsidRPr="000245F1" w14:paraId="05961362" w14:textId="77777777" w:rsidTr="004C6E3D">
        <w:tc>
          <w:tcPr>
            <w:tcW w:w="4508" w:type="dxa"/>
            <w:shd w:val="clear" w:color="auto" w:fill="D9D9D9" w:themeFill="background1" w:themeFillShade="D9"/>
          </w:tcPr>
          <w:p w14:paraId="3E15014C"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Early and open sharing of research (Open Access, Pre-registration, pre-prints etc)</w:t>
            </w:r>
          </w:p>
          <w:p w14:paraId="46DF8458"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Ensuring verifiability and reproducibility</w:t>
            </w:r>
          </w:p>
          <w:p w14:paraId="07E5059B"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Open collaboration</w:t>
            </w:r>
          </w:p>
          <w:p w14:paraId="7814B26B"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FAIR data management</w:t>
            </w:r>
          </w:p>
          <w:p w14:paraId="4D0DAC08"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Public engagement, citizen science</w:t>
            </w:r>
          </w:p>
          <w:p w14:paraId="208D7DCF" w14:textId="77777777" w:rsidR="00B019FF" w:rsidRPr="000245F1" w:rsidRDefault="00B019FF" w:rsidP="004C6E3D">
            <w:pPr>
              <w:pStyle w:val="ListParagraph"/>
              <w:ind w:left="360"/>
              <w:rPr>
                <w:rFonts w:ascii="Calibri" w:hAnsi="Calibri" w:cs="Calibri"/>
                <w:sz w:val="22"/>
                <w:szCs w:val="22"/>
              </w:rPr>
            </w:pPr>
          </w:p>
        </w:tc>
        <w:tc>
          <w:tcPr>
            <w:tcW w:w="4508" w:type="dxa"/>
            <w:shd w:val="clear" w:color="auto" w:fill="D9D9D9" w:themeFill="background1" w:themeFillShade="D9"/>
          </w:tcPr>
          <w:p w14:paraId="6F202BF0"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Incentives and Rewards</w:t>
            </w:r>
          </w:p>
          <w:p w14:paraId="404289CD"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Legislative and regulatory environment</w:t>
            </w:r>
          </w:p>
          <w:p w14:paraId="53AD61CD"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Infrastructure, such as European Open Science Cloud (EOSC)</w:t>
            </w:r>
          </w:p>
          <w:p w14:paraId="3D8DD7A1" w14:textId="77777777" w:rsidR="00B019FF" w:rsidRPr="000245F1" w:rsidRDefault="00B019FF" w:rsidP="004C6E3D">
            <w:pPr>
              <w:pStyle w:val="ListParagraph"/>
              <w:numPr>
                <w:ilvl w:val="0"/>
                <w:numId w:val="3"/>
              </w:numPr>
              <w:rPr>
                <w:rFonts w:ascii="Calibri" w:hAnsi="Calibri" w:cs="Calibri"/>
                <w:sz w:val="22"/>
                <w:szCs w:val="22"/>
              </w:rPr>
            </w:pPr>
            <w:r w:rsidRPr="000245F1">
              <w:rPr>
                <w:rFonts w:ascii="Calibri" w:hAnsi="Calibri" w:cs="Calibri"/>
                <w:sz w:val="22"/>
                <w:szCs w:val="22"/>
              </w:rPr>
              <w:t>Skills and capacity building</w:t>
            </w:r>
          </w:p>
        </w:tc>
      </w:tr>
    </w:tbl>
    <w:p w14:paraId="79A80661" w14:textId="77777777" w:rsidR="00B019FF" w:rsidRDefault="00B019FF" w:rsidP="00D065F6">
      <w:pPr>
        <w:spacing w:after="0"/>
        <w:rPr>
          <w:rFonts w:ascii="Calibri" w:hAnsi="Calibri" w:cs="Calibri"/>
          <w:lang w:val="en-US"/>
        </w:rPr>
      </w:pPr>
    </w:p>
    <w:p w14:paraId="7450C198" w14:textId="77777777" w:rsidR="00357AA0" w:rsidRDefault="00357AA0" w:rsidP="006541E6">
      <w:pPr>
        <w:spacing w:after="0"/>
        <w:rPr>
          <w:rFonts w:ascii="Calibri" w:hAnsi="Calibri" w:cs="Calibri"/>
          <w:b/>
          <w:bCs/>
        </w:rPr>
      </w:pPr>
    </w:p>
    <w:p w14:paraId="3102CF60" w14:textId="07D6B907" w:rsidR="00357AA0" w:rsidRDefault="00357AA0" w:rsidP="00357AA0">
      <w:pPr>
        <w:pStyle w:val="ListParagraph"/>
        <w:numPr>
          <w:ilvl w:val="1"/>
          <w:numId w:val="1"/>
        </w:numPr>
        <w:spacing w:after="0"/>
        <w:rPr>
          <w:rFonts w:ascii="Calibri" w:hAnsi="Calibri" w:cs="Calibri"/>
          <w:b/>
          <w:bCs/>
          <w:lang w:val="en-US"/>
        </w:rPr>
      </w:pPr>
      <w:r w:rsidRPr="00357AA0">
        <w:rPr>
          <w:rFonts w:ascii="Calibri" w:hAnsi="Calibri" w:cs="Calibri"/>
          <w:b/>
          <w:bCs/>
          <w:lang w:val="en-US"/>
        </w:rPr>
        <w:t>Open Research in EU and national</w:t>
      </w:r>
      <w:r>
        <w:rPr>
          <w:rFonts w:ascii="Calibri" w:hAnsi="Calibri" w:cs="Calibri"/>
          <w:b/>
          <w:bCs/>
          <w:lang w:val="en-US"/>
        </w:rPr>
        <w:t xml:space="preserve"> research</w:t>
      </w:r>
      <w:r w:rsidRPr="00357AA0">
        <w:rPr>
          <w:rFonts w:ascii="Calibri" w:hAnsi="Calibri" w:cs="Calibri"/>
          <w:b/>
          <w:bCs/>
          <w:lang w:val="en-US"/>
        </w:rPr>
        <w:t xml:space="preserve"> policy </w:t>
      </w:r>
    </w:p>
    <w:p w14:paraId="6D2C2509" w14:textId="77777777" w:rsidR="00357AA0" w:rsidRPr="00357AA0" w:rsidRDefault="00357AA0" w:rsidP="00357AA0">
      <w:pPr>
        <w:pStyle w:val="ListParagraph"/>
        <w:spacing w:after="0"/>
        <w:ind w:left="1440"/>
        <w:rPr>
          <w:rFonts w:ascii="Calibri" w:hAnsi="Calibri" w:cs="Calibri"/>
          <w:b/>
          <w:bCs/>
          <w:lang w:val="en-US"/>
        </w:rPr>
      </w:pPr>
    </w:p>
    <w:p w14:paraId="5D53D85B" w14:textId="6D6E06AB" w:rsidR="00177DA8" w:rsidRPr="00357AA0" w:rsidRDefault="00721ECD" w:rsidP="00357AA0">
      <w:pPr>
        <w:spacing w:after="0"/>
        <w:rPr>
          <w:rFonts w:ascii="Calibri" w:hAnsi="Calibri" w:cs="Calibri"/>
          <w:lang w:val="en-US"/>
        </w:rPr>
      </w:pPr>
      <w:r w:rsidRPr="00357AA0">
        <w:rPr>
          <w:rFonts w:ascii="Calibri" w:hAnsi="Calibri" w:cs="Calibri"/>
          <w:lang w:val="en-US"/>
        </w:rPr>
        <w:t xml:space="preserve">In parallel to this broadening of the activities encompassed under the umbrella term of Open Research, </w:t>
      </w:r>
      <w:r w:rsidR="006541E6" w:rsidRPr="00357AA0">
        <w:rPr>
          <w:rFonts w:ascii="Calibri" w:hAnsi="Calibri" w:cs="Calibri"/>
          <w:lang w:val="en-US"/>
        </w:rPr>
        <w:t>Open Research has become increasingly central in the EU and national research policy agenda. R</w:t>
      </w:r>
      <w:r w:rsidR="006760A4" w:rsidRPr="00357AA0">
        <w:rPr>
          <w:rFonts w:ascii="Calibri" w:hAnsi="Calibri" w:cs="Calibri"/>
          <w:lang w:val="en-US"/>
        </w:rPr>
        <w:t>ecent developments and policies worth noting include:</w:t>
      </w:r>
    </w:p>
    <w:p w14:paraId="5A0063A7" w14:textId="271A28D5" w:rsidR="00FD5D2E" w:rsidRPr="00177DA8" w:rsidRDefault="00FD5D2E" w:rsidP="00177DA8">
      <w:pPr>
        <w:pStyle w:val="ListParagraph"/>
        <w:numPr>
          <w:ilvl w:val="2"/>
          <w:numId w:val="1"/>
        </w:numPr>
        <w:rPr>
          <w:rFonts w:ascii="Calibri" w:hAnsi="Calibri" w:cs="Calibri"/>
          <w:b/>
          <w:bCs/>
        </w:rPr>
      </w:pPr>
      <w:r w:rsidRPr="00177DA8">
        <w:rPr>
          <w:rFonts w:ascii="Calibri" w:hAnsi="Calibri" w:cs="Calibri"/>
          <w:b/>
          <w:bCs/>
        </w:rPr>
        <w:t>At EU level</w:t>
      </w:r>
    </w:p>
    <w:p w14:paraId="0709AF29" w14:textId="7B2B9CC5" w:rsidR="00BA25BF" w:rsidRPr="000245F1" w:rsidRDefault="00FD5D2E" w:rsidP="00916054">
      <w:pPr>
        <w:pStyle w:val="ListParagraph"/>
        <w:numPr>
          <w:ilvl w:val="0"/>
          <w:numId w:val="2"/>
        </w:numPr>
        <w:rPr>
          <w:rFonts w:ascii="Calibri" w:hAnsi="Calibri" w:cs="Calibri"/>
        </w:rPr>
      </w:pPr>
      <w:r w:rsidRPr="000245F1">
        <w:rPr>
          <w:rFonts w:ascii="Calibri" w:hAnsi="Calibri" w:cs="Calibri"/>
        </w:rPr>
        <w:lastRenderedPageBreak/>
        <w:t xml:space="preserve">The European Commission’s push for </w:t>
      </w:r>
      <w:r w:rsidR="00094F1F" w:rsidRPr="000245F1">
        <w:rPr>
          <w:rFonts w:ascii="Calibri" w:hAnsi="Calibri" w:cs="Calibri"/>
        </w:rPr>
        <w:t>O</w:t>
      </w:r>
      <w:r w:rsidRPr="000245F1">
        <w:rPr>
          <w:rFonts w:ascii="Calibri" w:hAnsi="Calibri" w:cs="Calibri"/>
        </w:rPr>
        <w:t xml:space="preserve">pen </w:t>
      </w:r>
      <w:r w:rsidR="00094F1F" w:rsidRPr="000245F1">
        <w:rPr>
          <w:rFonts w:ascii="Calibri" w:hAnsi="Calibri" w:cs="Calibri"/>
        </w:rPr>
        <w:t>R</w:t>
      </w:r>
      <w:r w:rsidR="005E5FF9" w:rsidRPr="000245F1">
        <w:rPr>
          <w:rFonts w:ascii="Calibri" w:hAnsi="Calibri" w:cs="Calibri"/>
        </w:rPr>
        <w:t>esearch</w:t>
      </w:r>
      <w:r w:rsidRPr="000245F1">
        <w:rPr>
          <w:rFonts w:ascii="Calibri" w:hAnsi="Calibri" w:cs="Calibri"/>
        </w:rPr>
        <w:t xml:space="preserve"> practices as part of the Horizon Europe Framework Programme (2021-2027), </w:t>
      </w:r>
      <w:r w:rsidR="00C661C9" w:rsidRPr="000245F1">
        <w:rPr>
          <w:rFonts w:ascii="Calibri" w:hAnsi="Calibri" w:cs="Calibri"/>
        </w:rPr>
        <w:t xml:space="preserve">when compared to Horizon 2020 requirements. </w:t>
      </w:r>
      <w:r w:rsidR="009C76B9" w:rsidRPr="000245F1">
        <w:rPr>
          <w:rFonts w:ascii="Calibri" w:hAnsi="Calibri" w:cs="Calibri"/>
        </w:rPr>
        <w:t xml:space="preserve">As detailed in </w:t>
      </w:r>
      <w:proofErr w:type="spellStart"/>
      <w:r w:rsidR="00466CB0" w:rsidRPr="000245F1">
        <w:rPr>
          <w:rFonts w:ascii="Calibri" w:hAnsi="Calibri" w:cs="Calibri"/>
        </w:rPr>
        <w:t>OpenScience.eu’s</w:t>
      </w:r>
      <w:proofErr w:type="spellEnd"/>
      <w:r w:rsidR="00466CB0" w:rsidRPr="000245F1">
        <w:rPr>
          <w:rFonts w:ascii="Calibri" w:hAnsi="Calibri" w:cs="Calibri"/>
        </w:rPr>
        <w:t xml:space="preserve"> 2022 ‘</w:t>
      </w:r>
      <w:hyperlink r:id="rId9" w:history="1">
        <w:r w:rsidR="00466CB0" w:rsidRPr="000245F1">
          <w:rPr>
            <w:rStyle w:val="Hyperlink"/>
            <w:rFonts w:ascii="Calibri" w:hAnsi="Calibri" w:cs="Calibri"/>
          </w:rPr>
          <w:t>Summary of open science practices in Horizon 2020 and Horizon Europe’</w:t>
        </w:r>
      </w:hyperlink>
      <w:r w:rsidR="00466CB0" w:rsidRPr="000245F1">
        <w:rPr>
          <w:rFonts w:ascii="Calibri" w:hAnsi="Calibri" w:cs="Calibri"/>
        </w:rPr>
        <w:t>,</w:t>
      </w:r>
      <w:r w:rsidR="00582B5B" w:rsidRPr="000245F1">
        <w:rPr>
          <w:rFonts w:ascii="Calibri" w:hAnsi="Calibri" w:cs="Calibri"/>
        </w:rPr>
        <w:t xml:space="preserve"> many of the requirements pertaining to Open </w:t>
      </w:r>
      <w:r w:rsidR="00094F1F" w:rsidRPr="000245F1">
        <w:rPr>
          <w:rFonts w:ascii="Calibri" w:hAnsi="Calibri" w:cs="Calibri"/>
        </w:rPr>
        <w:t>Research</w:t>
      </w:r>
      <w:r w:rsidR="00582B5B" w:rsidRPr="000245F1">
        <w:rPr>
          <w:rFonts w:ascii="Calibri" w:hAnsi="Calibri" w:cs="Calibri"/>
        </w:rPr>
        <w:t xml:space="preserve"> under H2020 were </w:t>
      </w:r>
      <w:r w:rsidR="00945620" w:rsidRPr="000245F1">
        <w:rPr>
          <w:rFonts w:ascii="Calibri" w:hAnsi="Calibri" w:cs="Calibri"/>
        </w:rPr>
        <w:t>focused on Open Access, and/or part of a</w:t>
      </w:r>
      <w:r w:rsidR="008F01BE" w:rsidRPr="000245F1">
        <w:rPr>
          <w:rFonts w:ascii="Calibri" w:hAnsi="Calibri" w:cs="Calibri"/>
        </w:rPr>
        <w:t xml:space="preserve"> Open Research </w:t>
      </w:r>
      <w:r w:rsidR="00CD6786" w:rsidRPr="000245F1">
        <w:rPr>
          <w:rFonts w:ascii="Calibri" w:hAnsi="Calibri" w:cs="Calibri"/>
        </w:rPr>
        <w:t>Data Open Pilot</w:t>
      </w:r>
      <w:r w:rsidR="00162620" w:rsidRPr="000245F1">
        <w:rPr>
          <w:rFonts w:ascii="Calibri" w:hAnsi="Calibri" w:cs="Calibri"/>
        </w:rPr>
        <w:t>.</w:t>
      </w:r>
      <w:r w:rsidR="00B7212D" w:rsidRPr="000245F1">
        <w:rPr>
          <w:rFonts w:ascii="Calibri" w:hAnsi="Calibri" w:cs="Calibri"/>
        </w:rPr>
        <w:t xml:space="preserve"> </w:t>
      </w:r>
      <w:r w:rsidR="00162620" w:rsidRPr="000245F1">
        <w:rPr>
          <w:rFonts w:ascii="Calibri" w:hAnsi="Calibri" w:cs="Calibri"/>
        </w:rPr>
        <w:t>A</w:t>
      </w:r>
      <w:r w:rsidR="00B7212D" w:rsidRPr="000245F1">
        <w:rPr>
          <w:rFonts w:ascii="Calibri" w:hAnsi="Calibri" w:cs="Calibri"/>
        </w:rPr>
        <w:t xml:space="preserve"> lot of those practices have now been made mandatory under the current FP and Open </w:t>
      </w:r>
      <w:r w:rsidR="00094F1F" w:rsidRPr="000245F1">
        <w:rPr>
          <w:rFonts w:ascii="Calibri" w:hAnsi="Calibri" w:cs="Calibri"/>
        </w:rPr>
        <w:t>Research</w:t>
      </w:r>
      <w:r w:rsidR="00B7212D" w:rsidRPr="000245F1">
        <w:rPr>
          <w:rFonts w:ascii="Calibri" w:hAnsi="Calibri" w:cs="Calibri"/>
        </w:rPr>
        <w:t xml:space="preserve"> is at the core of the funding mechanism, as illustrated in the </w:t>
      </w:r>
      <w:r w:rsidR="00085FFC" w:rsidRPr="000245F1">
        <w:rPr>
          <w:rFonts w:ascii="Calibri" w:hAnsi="Calibri" w:cs="Calibri"/>
        </w:rPr>
        <w:t xml:space="preserve">2021 publication from the European Commission entitled </w:t>
      </w:r>
      <w:r w:rsidR="00FC63EF" w:rsidRPr="000245F1">
        <w:rPr>
          <w:rFonts w:ascii="Calibri" w:hAnsi="Calibri" w:cs="Calibri"/>
        </w:rPr>
        <w:t>‘</w:t>
      </w:r>
      <w:hyperlink r:id="rId10" w:history="1">
        <w:r w:rsidR="00FC63EF" w:rsidRPr="000245F1">
          <w:rPr>
            <w:rStyle w:val="Hyperlink"/>
            <w:rFonts w:ascii="Calibri" w:hAnsi="Calibri" w:cs="Calibri"/>
          </w:rPr>
          <w:t xml:space="preserve">Open Science Early Knowledge </w:t>
        </w:r>
        <w:r w:rsidR="00D13599" w:rsidRPr="000245F1">
          <w:rPr>
            <w:rStyle w:val="Hyperlink"/>
            <w:rFonts w:ascii="Calibri" w:hAnsi="Calibri" w:cs="Calibri"/>
          </w:rPr>
          <w:t>a</w:t>
        </w:r>
        <w:r w:rsidR="00FC63EF" w:rsidRPr="000245F1">
          <w:rPr>
            <w:rStyle w:val="Hyperlink"/>
            <w:rFonts w:ascii="Calibri" w:hAnsi="Calibri" w:cs="Calibri"/>
          </w:rPr>
          <w:t xml:space="preserve">nd Data Sharing, </w:t>
        </w:r>
        <w:r w:rsidR="00D13599" w:rsidRPr="000245F1">
          <w:rPr>
            <w:rStyle w:val="Hyperlink"/>
            <w:rFonts w:ascii="Calibri" w:hAnsi="Calibri" w:cs="Calibri"/>
          </w:rPr>
          <w:t>a</w:t>
        </w:r>
        <w:r w:rsidR="00FC63EF" w:rsidRPr="000245F1">
          <w:rPr>
            <w:rStyle w:val="Hyperlink"/>
            <w:rFonts w:ascii="Calibri" w:hAnsi="Calibri" w:cs="Calibri"/>
          </w:rPr>
          <w:t>nd Open Collaboration</w:t>
        </w:r>
        <w:r w:rsidR="00D13599" w:rsidRPr="000245F1">
          <w:rPr>
            <w:rStyle w:val="Hyperlink"/>
            <w:rFonts w:ascii="Calibri" w:hAnsi="Calibri" w:cs="Calibri"/>
          </w:rPr>
          <w:t>’</w:t>
        </w:r>
      </w:hyperlink>
      <w:r w:rsidR="00734998" w:rsidRPr="000245F1">
        <w:rPr>
          <w:rFonts w:ascii="Calibri" w:hAnsi="Calibri" w:cs="Calibri"/>
        </w:rPr>
        <w:t>;</w:t>
      </w:r>
    </w:p>
    <w:p w14:paraId="173ABCE6" w14:textId="491BAFB5" w:rsidR="006760A4" w:rsidRDefault="00734998" w:rsidP="00490D13">
      <w:pPr>
        <w:pStyle w:val="ListParagraph"/>
        <w:numPr>
          <w:ilvl w:val="0"/>
          <w:numId w:val="2"/>
        </w:numPr>
        <w:rPr>
          <w:rFonts w:ascii="Calibri" w:hAnsi="Calibri" w:cs="Calibri"/>
        </w:rPr>
      </w:pPr>
      <w:r w:rsidRPr="000245F1">
        <w:rPr>
          <w:rFonts w:ascii="Calibri" w:hAnsi="Calibri" w:cs="Calibri"/>
        </w:rPr>
        <w:t>The</w:t>
      </w:r>
      <w:r w:rsidR="008F3401" w:rsidRPr="000245F1">
        <w:rPr>
          <w:rFonts w:ascii="Calibri" w:hAnsi="Calibri" w:cs="Calibri"/>
        </w:rPr>
        <w:t xml:space="preserve"> </w:t>
      </w:r>
      <w:r w:rsidR="00DF564B" w:rsidRPr="000245F1">
        <w:rPr>
          <w:rFonts w:ascii="Calibri" w:hAnsi="Calibri" w:cs="Calibri"/>
        </w:rPr>
        <w:t xml:space="preserve">centrality of </w:t>
      </w:r>
      <w:r w:rsidR="00D13599" w:rsidRPr="000245F1">
        <w:rPr>
          <w:rFonts w:ascii="Calibri" w:hAnsi="Calibri" w:cs="Calibri"/>
        </w:rPr>
        <w:t>O</w:t>
      </w:r>
      <w:r w:rsidR="00DF564B" w:rsidRPr="000245F1">
        <w:rPr>
          <w:rFonts w:ascii="Calibri" w:hAnsi="Calibri" w:cs="Calibri"/>
        </w:rPr>
        <w:t xml:space="preserve">pen </w:t>
      </w:r>
      <w:r w:rsidR="00D13599" w:rsidRPr="000245F1">
        <w:rPr>
          <w:rFonts w:ascii="Calibri" w:hAnsi="Calibri" w:cs="Calibri"/>
        </w:rPr>
        <w:t>Research</w:t>
      </w:r>
      <w:r w:rsidR="00DF564B" w:rsidRPr="000245F1">
        <w:rPr>
          <w:rFonts w:ascii="Calibri" w:hAnsi="Calibri" w:cs="Calibri"/>
        </w:rPr>
        <w:t xml:space="preserve"> in the European Research Area, notably via ERA Action 1</w:t>
      </w:r>
      <w:r w:rsidR="00262D13" w:rsidRPr="000245F1">
        <w:rPr>
          <w:rFonts w:ascii="Calibri" w:hAnsi="Calibri" w:cs="Calibri"/>
        </w:rPr>
        <w:t xml:space="preserve"> </w:t>
      </w:r>
      <w:r w:rsidR="00BA2B58" w:rsidRPr="000245F1">
        <w:rPr>
          <w:rFonts w:ascii="Calibri" w:hAnsi="Calibri" w:cs="Calibri"/>
        </w:rPr>
        <w:t xml:space="preserve">of the </w:t>
      </w:r>
      <w:hyperlink r:id="rId11" w:history="1">
        <w:r w:rsidR="00BA2B58" w:rsidRPr="000245F1">
          <w:rPr>
            <w:rStyle w:val="Hyperlink"/>
            <w:rFonts w:ascii="Calibri" w:hAnsi="Calibri" w:cs="Calibri"/>
          </w:rPr>
          <w:t>ERA Policy Agenda for 2022-2024</w:t>
        </w:r>
      </w:hyperlink>
      <w:r w:rsidR="00BA2B58" w:rsidRPr="000245F1">
        <w:rPr>
          <w:rFonts w:ascii="Calibri" w:hAnsi="Calibri" w:cs="Calibri"/>
        </w:rPr>
        <w:t>, ‘Enable Open Science, including through the European Open Science Cloud (EOSC)’</w:t>
      </w:r>
      <w:r w:rsidR="00ED41BD" w:rsidRPr="000245F1">
        <w:rPr>
          <w:rFonts w:ascii="Calibri" w:hAnsi="Calibri" w:cs="Calibri"/>
        </w:rPr>
        <w:t xml:space="preserve">, </w:t>
      </w:r>
    </w:p>
    <w:p w14:paraId="65CAC9EA" w14:textId="77777777" w:rsidR="00357AA0" w:rsidRPr="000245F1" w:rsidRDefault="00357AA0" w:rsidP="00357AA0">
      <w:pPr>
        <w:pStyle w:val="ListParagraph"/>
        <w:rPr>
          <w:rFonts w:ascii="Calibri" w:hAnsi="Calibri" w:cs="Calibri"/>
        </w:rPr>
      </w:pPr>
    </w:p>
    <w:p w14:paraId="6221F7FC" w14:textId="11A40E85" w:rsidR="00B7212D" w:rsidRPr="00177DA8" w:rsidRDefault="00F32E5D" w:rsidP="00176B2F">
      <w:pPr>
        <w:pStyle w:val="ListParagraph"/>
        <w:numPr>
          <w:ilvl w:val="2"/>
          <w:numId w:val="1"/>
        </w:numPr>
        <w:rPr>
          <w:rFonts w:ascii="Calibri" w:hAnsi="Calibri" w:cs="Calibri"/>
          <w:b/>
          <w:bCs/>
        </w:rPr>
      </w:pPr>
      <w:r w:rsidRPr="00177DA8">
        <w:rPr>
          <w:rFonts w:ascii="Calibri" w:hAnsi="Calibri" w:cs="Calibri"/>
          <w:b/>
          <w:bCs/>
        </w:rPr>
        <w:t>At national level</w:t>
      </w:r>
    </w:p>
    <w:p w14:paraId="7137E9C3" w14:textId="3DA1BD77" w:rsidR="00D606C2" w:rsidRPr="000245F1" w:rsidRDefault="006E07C5" w:rsidP="00213A71">
      <w:pPr>
        <w:pStyle w:val="ListParagraph"/>
        <w:numPr>
          <w:ilvl w:val="0"/>
          <w:numId w:val="4"/>
        </w:numPr>
        <w:rPr>
          <w:rFonts w:ascii="Calibri" w:hAnsi="Calibri" w:cs="Calibri"/>
        </w:rPr>
      </w:pPr>
      <w:r w:rsidRPr="000245F1">
        <w:rPr>
          <w:rFonts w:ascii="Calibri" w:hAnsi="Calibri" w:cs="Calibri"/>
        </w:rPr>
        <w:t xml:space="preserve">The establishment of the </w:t>
      </w:r>
      <w:hyperlink r:id="rId12" w:history="1">
        <w:r w:rsidRPr="000245F1">
          <w:rPr>
            <w:rStyle w:val="Hyperlink"/>
            <w:rFonts w:ascii="Calibri" w:hAnsi="Calibri" w:cs="Calibri"/>
          </w:rPr>
          <w:t>National Open Research Forum</w:t>
        </w:r>
      </w:hyperlink>
      <w:r w:rsidR="00D606C2" w:rsidRPr="000245F1">
        <w:rPr>
          <w:rFonts w:ascii="Calibri" w:hAnsi="Calibri" w:cs="Calibri"/>
        </w:rPr>
        <w:t xml:space="preserve"> (NORF)</w:t>
      </w:r>
      <w:r w:rsidRPr="000245F1">
        <w:rPr>
          <w:rFonts w:ascii="Calibri" w:hAnsi="Calibri" w:cs="Calibri"/>
        </w:rPr>
        <w:t xml:space="preserve"> in 2017, </w:t>
      </w:r>
      <w:r w:rsidR="00AC2CF1" w:rsidRPr="000245F1">
        <w:rPr>
          <w:rFonts w:ascii="Calibri" w:hAnsi="Calibri" w:cs="Calibri"/>
        </w:rPr>
        <w:t>as Government of Ireland initiative, funded by the Department of Further and Higher Education, Research, Innovation and Science, through the Higher Education Authorit</w:t>
      </w:r>
      <w:r w:rsidR="00633E02" w:rsidRPr="000245F1">
        <w:rPr>
          <w:rFonts w:ascii="Calibri" w:hAnsi="Calibri" w:cs="Calibri"/>
        </w:rPr>
        <w:t xml:space="preserve">y, </w:t>
      </w:r>
    </w:p>
    <w:p w14:paraId="2F00EE2B" w14:textId="00EE444B" w:rsidR="000C17E3" w:rsidRPr="000245F1" w:rsidRDefault="00D53852" w:rsidP="00213A71">
      <w:pPr>
        <w:pStyle w:val="ListParagraph"/>
        <w:numPr>
          <w:ilvl w:val="0"/>
          <w:numId w:val="4"/>
        </w:numPr>
        <w:rPr>
          <w:rFonts w:ascii="Calibri" w:hAnsi="Calibri" w:cs="Calibri"/>
        </w:rPr>
      </w:pPr>
      <w:r w:rsidRPr="000245F1">
        <w:rPr>
          <w:rFonts w:ascii="Calibri" w:hAnsi="Calibri" w:cs="Calibri"/>
        </w:rPr>
        <w:t xml:space="preserve">The publication of the </w:t>
      </w:r>
      <w:hyperlink r:id="rId13" w:history="1">
        <w:r w:rsidR="000C17E3" w:rsidRPr="000245F1">
          <w:rPr>
            <w:rStyle w:val="Hyperlink"/>
            <w:rFonts w:ascii="Calibri" w:hAnsi="Calibri" w:cs="Calibri"/>
          </w:rPr>
          <w:t>National Framework</w:t>
        </w:r>
        <w:r w:rsidRPr="000245F1">
          <w:rPr>
            <w:rStyle w:val="Hyperlink"/>
            <w:rFonts w:ascii="Calibri" w:hAnsi="Calibri" w:cs="Calibri"/>
          </w:rPr>
          <w:t xml:space="preserve"> on the Transition to an Open Research Environment</w:t>
        </w:r>
      </w:hyperlink>
      <w:r w:rsidRPr="000245F1">
        <w:rPr>
          <w:rFonts w:ascii="Calibri" w:hAnsi="Calibri" w:cs="Calibri"/>
        </w:rPr>
        <w:t xml:space="preserve"> in 2019,</w:t>
      </w:r>
      <w:r w:rsidR="00EC7A1C" w:rsidRPr="000245F1">
        <w:rPr>
          <w:rFonts w:ascii="Calibri" w:hAnsi="Calibri" w:cs="Calibri"/>
        </w:rPr>
        <w:t xml:space="preserve"> which outlines 5 strategic areas: open access to research publications, enabling FAIR research data, infrastructures </w:t>
      </w:r>
      <w:r w:rsidR="00633E02" w:rsidRPr="000245F1">
        <w:rPr>
          <w:rFonts w:ascii="Calibri" w:hAnsi="Calibri" w:cs="Calibri"/>
        </w:rPr>
        <w:t>for access to and preservation of research, skills and competencies, and incentives and rewards,</w:t>
      </w:r>
    </w:p>
    <w:p w14:paraId="5521649E" w14:textId="4EC2A172" w:rsidR="00177DA8" w:rsidRPr="00C245D3" w:rsidRDefault="00315A1E" w:rsidP="00ED41BD">
      <w:pPr>
        <w:pStyle w:val="ListParagraph"/>
        <w:numPr>
          <w:ilvl w:val="0"/>
          <w:numId w:val="4"/>
        </w:numPr>
        <w:rPr>
          <w:rFonts w:ascii="Calibri" w:hAnsi="Calibri" w:cs="Calibri"/>
        </w:rPr>
      </w:pPr>
      <w:r w:rsidRPr="000245F1">
        <w:rPr>
          <w:rFonts w:ascii="Calibri" w:hAnsi="Calibri" w:cs="Calibri"/>
        </w:rPr>
        <w:t xml:space="preserve">The publication of the </w:t>
      </w:r>
      <w:hyperlink r:id="rId14" w:history="1">
        <w:r w:rsidR="006B6FCA" w:rsidRPr="000245F1">
          <w:rPr>
            <w:rStyle w:val="Hyperlink"/>
            <w:rFonts w:ascii="Calibri" w:hAnsi="Calibri" w:cs="Calibri"/>
          </w:rPr>
          <w:t xml:space="preserve">National Action Plan </w:t>
        </w:r>
        <w:r w:rsidR="00EA61A1" w:rsidRPr="000245F1">
          <w:rPr>
            <w:rStyle w:val="Hyperlink"/>
            <w:rFonts w:ascii="Calibri" w:hAnsi="Calibri" w:cs="Calibri"/>
          </w:rPr>
          <w:t>for Open Research 2022-2030</w:t>
        </w:r>
      </w:hyperlink>
      <w:r w:rsidR="00EA61A1" w:rsidRPr="000245F1">
        <w:rPr>
          <w:rFonts w:ascii="Calibri" w:hAnsi="Calibri" w:cs="Calibri"/>
        </w:rPr>
        <w:t xml:space="preserve"> in 2022</w:t>
      </w:r>
      <w:r w:rsidR="009408EA" w:rsidRPr="000245F1">
        <w:rPr>
          <w:rFonts w:ascii="Calibri" w:hAnsi="Calibri" w:cs="Calibri"/>
        </w:rPr>
        <w:t xml:space="preserve">, </w:t>
      </w:r>
      <w:r w:rsidR="00B84B1E" w:rsidRPr="000245F1">
        <w:rPr>
          <w:rFonts w:ascii="Calibri" w:hAnsi="Calibri" w:cs="Calibri"/>
        </w:rPr>
        <w:t>as a roadmap</w:t>
      </w:r>
      <w:r w:rsidR="004163B0" w:rsidRPr="000245F1">
        <w:rPr>
          <w:rFonts w:ascii="Calibri" w:hAnsi="Calibri" w:cs="Calibri"/>
        </w:rPr>
        <w:t xml:space="preserve"> for meeting national objectives identified in the Framework, and </w:t>
      </w:r>
      <w:r w:rsidR="00F12374" w:rsidRPr="000245F1">
        <w:rPr>
          <w:rFonts w:ascii="Calibri" w:hAnsi="Calibri" w:cs="Calibri"/>
        </w:rPr>
        <w:t>organised around three themes: establishing a culture of open research, achieving 100% open access to research publications, and enabling FAIR research data and other outputs.</w:t>
      </w:r>
    </w:p>
    <w:p w14:paraId="38BA3823" w14:textId="77777777" w:rsidR="000D5BA9" w:rsidRPr="000245F1" w:rsidRDefault="000D5BA9" w:rsidP="00ED41BD">
      <w:pPr>
        <w:rPr>
          <w:rFonts w:ascii="Calibri" w:hAnsi="Calibri" w:cs="Calibri"/>
        </w:rPr>
      </w:pPr>
    </w:p>
    <w:p w14:paraId="5FE11B39" w14:textId="45555EC1" w:rsidR="00357A1F" w:rsidRDefault="00121D25" w:rsidP="000C40A9">
      <w:pPr>
        <w:pStyle w:val="ListParagraph"/>
        <w:numPr>
          <w:ilvl w:val="0"/>
          <w:numId w:val="1"/>
        </w:numPr>
        <w:rPr>
          <w:rFonts w:ascii="Calibri" w:hAnsi="Calibri" w:cs="Calibri"/>
          <w:b/>
          <w:bCs/>
        </w:rPr>
      </w:pPr>
      <w:r>
        <w:rPr>
          <w:rFonts w:ascii="Calibri" w:hAnsi="Calibri" w:cs="Calibri"/>
          <w:b/>
          <w:bCs/>
        </w:rPr>
        <w:t>Incentivising Open research</w:t>
      </w:r>
    </w:p>
    <w:p w14:paraId="42441EAE" w14:textId="5E86C310" w:rsidR="00C023CA" w:rsidRDefault="00301DD6" w:rsidP="00C023CA">
      <w:pPr>
        <w:rPr>
          <w:rFonts w:ascii="Calibri" w:hAnsi="Calibri" w:cs="Calibri"/>
        </w:rPr>
      </w:pPr>
      <w:r>
        <w:rPr>
          <w:rFonts w:ascii="Calibri" w:hAnsi="Calibri" w:cs="Calibri"/>
        </w:rPr>
        <w:t>At present</w:t>
      </w:r>
      <w:r w:rsidR="00C109C8">
        <w:rPr>
          <w:rFonts w:ascii="Calibri" w:hAnsi="Calibri" w:cs="Calibri"/>
        </w:rPr>
        <w:t xml:space="preserve">, </w:t>
      </w:r>
      <w:r w:rsidR="001D153F">
        <w:rPr>
          <w:rFonts w:ascii="Calibri" w:hAnsi="Calibri" w:cs="Calibri"/>
        </w:rPr>
        <w:t>traditional research assessment</w:t>
      </w:r>
      <w:r w:rsidR="00556061">
        <w:rPr>
          <w:rFonts w:ascii="Calibri" w:hAnsi="Calibri" w:cs="Calibri"/>
        </w:rPr>
        <w:t xml:space="preserve"> methods</w:t>
      </w:r>
      <w:r w:rsidR="001D153F">
        <w:rPr>
          <w:rFonts w:ascii="Calibri" w:hAnsi="Calibri" w:cs="Calibri"/>
        </w:rPr>
        <w:t xml:space="preserve"> do not encourage nor incentivise</w:t>
      </w:r>
      <w:r w:rsidR="00556061">
        <w:rPr>
          <w:rFonts w:ascii="Calibri" w:hAnsi="Calibri" w:cs="Calibri"/>
        </w:rPr>
        <w:t xml:space="preserve"> the adoption of</w:t>
      </w:r>
      <w:r w:rsidR="001D153F">
        <w:rPr>
          <w:rFonts w:ascii="Calibri" w:hAnsi="Calibri" w:cs="Calibri"/>
        </w:rPr>
        <w:t xml:space="preserve"> Open Research</w:t>
      </w:r>
      <w:r w:rsidR="00556061">
        <w:rPr>
          <w:rFonts w:ascii="Calibri" w:hAnsi="Calibri" w:cs="Calibri"/>
        </w:rPr>
        <w:t xml:space="preserve"> practices by researchers</w:t>
      </w:r>
      <w:r w:rsidR="001D153F">
        <w:rPr>
          <w:rFonts w:ascii="Calibri" w:hAnsi="Calibri" w:cs="Calibri"/>
        </w:rPr>
        <w:t xml:space="preserve">. </w:t>
      </w:r>
      <w:r w:rsidR="00607A92">
        <w:rPr>
          <w:rFonts w:ascii="Calibri" w:hAnsi="Calibri" w:cs="Calibri"/>
        </w:rPr>
        <w:t xml:space="preserve">As </w:t>
      </w:r>
      <w:r w:rsidR="00362BDF">
        <w:rPr>
          <w:rFonts w:ascii="Calibri" w:hAnsi="Calibri" w:cs="Calibri"/>
        </w:rPr>
        <w:t xml:space="preserve">the Global Young Academy, </w:t>
      </w:r>
      <w:proofErr w:type="spellStart"/>
      <w:r w:rsidR="00362BDF">
        <w:rPr>
          <w:rFonts w:ascii="Calibri" w:hAnsi="Calibri" w:cs="Calibri"/>
        </w:rPr>
        <w:t>InterAcademy</w:t>
      </w:r>
      <w:proofErr w:type="spellEnd"/>
      <w:r w:rsidR="00362BDF">
        <w:rPr>
          <w:rFonts w:ascii="Calibri" w:hAnsi="Calibri" w:cs="Calibri"/>
        </w:rPr>
        <w:t xml:space="preserve"> Partnership</w:t>
      </w:r>
      <w:r w:rsidR="00E5428C">
        <w:rPr>
          <w:rFonts w:ascii="Calibri" w:hAnsi="Calibri" w:cs="Calibri"/>
        </w:rPr>
        <w:t>,</w:t>
      </w:r>
      <w:r w:rsidR="00362BDF">
        <w:rPr>
          <w:rFonts w:ascii="Calibri" w:hAnsi="Calibri" w:cs="Calibri"/>
        </w:rPr>
        <w:t xml:space="preserve"> and the International Science Council </w:t>
      </w:r>
      <w:r w:rsidR="004C30DE">
        <w:rPr>
          <w:rFonts w:ascii="Calibri" w:hAnsi="Calibri" w:cs="Calibri"/>
        </w:rPr>
        <w:t>explain</w:t>
      </w:r>
      <w:r w:rsidR="00607A92">
        <w:rPr>
          <w:rFonts w:ascii="Calibri" w:hAnsi="Calibri" w:cs="Calibri"/>
        </w:rPr>
        <w:t xml:space="preserve"> in ‘Snapshots of Reform: Research Evaluation within Science Organisations’</w:t>
      </w:r>
      <w:r w:rsidR="007A0FE8">
        <w:rPr>
          <w:rFonts w:ascii="Calibri" w:hAnsi="Calibri" w:cs="Calibri"/>
        </w:rPr>
        <w:t xml:space="preserve"> (May 2024), </w:t>
      </w:r>
      <w:r w:rsidR="004C30DE">
        <w:rPr>
          <w:rFonts w:ascii="Calibri" w:hAnsi="Calibri" w:cs="Calibri"/>
        </w:rPr>
        <w:t xml:space="preserve">the </w:t>
      </w:r>
      <w:r w:rsidR="00857944">
        <w:rPr>
          <w:rFonts w:ascii="Calibri" w:hAnsi="Calibri" w:cs="Calibri"/>
        </w:rPr>
        <w:t>current</w:t>
      </w:r>
      <w:r w:rsidR="00354D15">
        <w:rPr>
          <w:rFonts w:ascii="Calibri" w:hAnsi="Calibri" w:cs="Calibri"/>
        </w:rPr>
        <w:t xml:space="preserve"> </w:t>
      </w:r>
      <w:r w:rsidR="00857944">
        <w:rPr>
          <w:rFonts w:ascii="Calibri" w:hAnsi="Calibri" w:cs="Calibri"/>
        </w:rPr>
        <w:t xml:space="preserve">system, focused largely on publications and citations, </w:t>
      </w:r>
      <w:r w:rsidR="00611904">
        <w:rPr>
          <w:rFonts w:ascii="Calibri" w:hAnsi="Calibri" w:cs="Calibri"/>
        </w:rPr>
        <w:t>tends to</w:t>
      </w:r>
      <w:r w:rsidR="00611904" w:rsidRPr="00C11B84">
        <w:rPr>
          <w:rFonts w:ascii="Calibri" w:hAnsi="Calibri" w:cs="Calibri"/>
        </w:rPr>
        <w:t xml:space="preserve"> promote a narrow vision of </w:t>
      </w:r>
      <w:r w:rsidR="00611904">
        <w:rPr>
          <w:rFonts w:ascii="Calibri" w:hAnsi="Calibri" w:cs="Calibri"/>
        </w:rPr>
        <w:t>research success</w:t>
      </w:r>
      <w:r w:rsidR="00611904" w:rsidRPr="00C11B84">
        <w:rPr>
          <w:rFonts w:ascii="Calibri" w:hAnsi="Calibri" w:cs="Calibri"/>
        </w:rPr>
        <w:t xml:space="preserve">, defining it </w:t>
      </w:r>
      <w:r w:rsidR="00611904">
        <w:rPr>
          <w:rFonts w:ascii="Calibri" w:hAnsi="Calibri" w:cs="Calibri"/>
        </w:rPr>
        <w:t>quantitatively, notably</w:t>
      </w:r>
      <w:r w:rsidR="00611904" w:rsidRPr="00C11B84">
        <w:rPr>
          <w:rFonts w:ascii="Calibri" w:hAnsi="Calibri" w:cs="Calibri"/>
        </w:rPr>
        <w:t xml:space="preserve"> in relation to productivity levels and </w:t>
      </w:r>
      <w:r w:rsidR="00611904">
        <w:rPr>
          <w:rFonts w:ascii="Calibri" w:hAnsi="Calibri" w:cs="Calibri"/>
        </w:rPr>
        <w:t>citation counts</w:t>
      </w:r>
      <w:r w:rsidR="0019265E">
        <w:rPr>
          <w:rFonts w:ascii="Calibri" w:hAnsi="Calibri" w:cs="Calibri"/>
        </w:rPr>
        <w:t>, and</w:t>
      </w:r>
      <w:r w:rsidR="00611904">
        <w:rPr>
          <w:rFonts w:ascii="Calibri" w:hAnsi="Calibri" w:cs="Calibri"/>
        </w:rPr>
        <w:t xml:space="preserve"> </w:t>
      </w:r>
      <w:r w:rsidR="00354D15">
        <w:rPr>
          <w:rFonts w:ascii="Calibri" w:hAnsi="Calibri" w:cs="Calibri"/>
        </w:rPr>
        <w:t>remains unsatisfactory:</w:t>
      </w:r>
    </w:p>
    <w:p w14:paraId="3D66D6D6" w14:textId="51CE549E" w:rsidR="004C244A" w:rsidRPr="00C11B84" w:rsidRDefault="004C244A" w:rsidP="00AB4053">
      <w:pPr>
        <w:ind w:left="720"/>
        <w:rPr>
          <w:rFonts w:ascii="Calibri" w:hAnsi="Calibri" w:cs="Calibri"/>
        </w:rPr>
      </w:pPr>
      <w:r w:rsidRPr="004C244A">
        <w:rPr>
          <w:rFonts w:ascii="Calibri" w:hAnsi="Calibri" w:cs="Calibri"/>
        </w:rPr>
        <w:t>Flawed measures of productivity, such as publication count, were replaced by metrics focused on citations</w:t>
      </w:r>
      <w:r>
        <w:rPr>
          <w:rFonts w:ascii="Calibri" w:hAnsi="Calibri" w:cs="Calibri"/>
        </w:rPr>
        <w:t xml:space="preserve"> </w:t>
      </w:r>
      <w:r w:rsidRPr="004C244A">
        <w:rPr>
          <w:rFonts w:ascii="Calibri" w:hAnsi="Calibri" w:cs="Calibri"/>
        </w:rPr>
        <w:t>or proxies such as Journal Impact Factor. However, these replacement metrics created new issues –</w:t>
      </w:r>
      <w:r>
        <w:rPr>
          <w:rFonts w:ascii="Calibri" w:hAnsi="Calibri" w:cs="Calibri"/>
        </w:rPr>
        <w:t xml:space="preserve"> </w:t>
      </w:r>
      <w:r w:rsidRPr="004C244A">
        <w:rPr>
          <w:rFonts w:ascii="Calibri" w:hAnsi="Calibri" w:cs="Calibri"/>
        </w:rPr>
        <w:t xml:space="preserve">including around what these metrics </w:t>
      </w:r>
      <w:proofErr w:type="gramStart"/>
      <w:r w:rsidRPr="004C244A">
        <w:rPr>
          <w:rFonts w:ascii="Calibri" w:hAnsi="Calibri" w:cs="Calibri"/>
        </w:rPr>
        <w:t>actually measure</w:t>
      </w:r>
      <w:proofErr w:type="gramEnd"/>
      <w:r w:rsidRPr="004C244A">
        <w:rPr>
          <w:rFonts w:ascii="Calibri" w:hAnsi="Calibri" w:cs="Calibri"/>
        </w:rPr>
        <w:t>, and how they could be used fairly to compare</w:t>
      </w:r>
      <w:r w:rsidR="0007626B">
        <w:rPr>
          <w:rFonts w:ascii="Calibri" w:hAnsi="Calibri" w:cs="Calibri"/>
        </w:rPr>
        <w:t xml:space="preserve"> </w:t>
      </w:r>
      <w:r w:rsidRPr="004C244A">
        <w:rPr>
          <w:rFonts w:ascii="Calibri" w:hAnsi="Calibri" w:cs="Calibri"/>
        </w:rPr>
        <w:t>researchers.</w:t>
      </w:r>
      <w:r w:rsidR="00D34859">
        <w:rPr>
          <w:rStyle w:val="FootnoteReference"/>
          <w:rFonts w:ascii="Calibri" w:hAnsi="Calibri" w:cs="Calibri"/>
        </w:rPr>
        <w:footnoteReference w:id="4"/>
      </w:r>
      <w:r w:rsidR="009E4F1E">
        <w:rPr>
          <w:rFonts w:ascii="Calibri" w:hAnsi="Calibri" w:cs="Calibri"/>
        </w:rPr>
        <w:t xml:space="preserve"> </w:t>
      </w:r>
    </w:p>
    <w:p w14:paraId="0CF070D8" w14:textId="47EF5D99" w:rsidR="00AB4053" w:rsidRPr="000245F1" w:rsidRDefault="00D7711F" w:rsidP="00AB4053">
      <w:pPr>
        <w:rPr>
          <w:rFonts w:ascii="Calibri" w:hAnsi="Calibri" w:cs="Calibri"/>
        </w:rPr>
      </w:pPr>
      <w:r>
        <w:rPr>
          <w:rFonts w:ascii="Calibri" w:hAnsi="Calibri" w:cs="Calibri"/>
        </w:rPr>
        <w:t xml:space="preserve">As argued in the </w:t>
      </w:r>
      <w:r>
        <w:t>San Francisco Declaration on Research Assessment (2012), s</w:t>
      </w:r>
      <w:r w:rsidR="00AB4053" w:rsidRPr="000245F1">
        <w:rPr>
          <w:rFonts w:ascii="Calibri" w:hAnsi="Calibri" w:cs="Calibri"/>
        </w:rPr>
        <w:t>uch assessment methods have notably led to:</w:t>
      </w:r>
    </w:p>
    <w:p w14:paraId="648E899B" w14:textId="71EDF67D" w:rsidR="00AB4053" w:rsidRPr="00700FB2" w:rsidRDefault="00AB4053" w:rsidP="00700FB2">
      <w:pPr>
        <w:pStyle w:val="ListParagraph"/>
        <w:numPr>
          <w:ilvl w:val="0"/>
          <w:numId w:val="6"/>
        </w:numPr>
        <w:rPr>
          <w:rFonts w:ascii="Calibri" w:hAnsi="Calibri" w:cs="Calibri"/>
        </w:rPr>
      </w:pPr>
      <w:r w:rsidRPr="000245F1">
        <w:rPr>
          <w:rFonts w:ascii="Calibri" w:hAnsi="Calibri" w:cs="Calibri"/>
        </w:rPr>
        <w:t>An over-reliance on markers of prestige that are not transparent and can be gamed,</w:t>
      </w:r>
    </w:p>
    <w:p w14:paraId="382E71C1" w14:textId="68CECDEE" w:rsidR="00700FB2" w:rsidRDefault="00AB4053" w:rsidP="00D5214D">
      <w:pPr>
        <w:pStyle w:val="ListParagraph"/>
        <w:numPr>
          <w:ilvl w:val="0"/>
          <w:numId w:val="6"/>
        </w:numPr>
        <w:rPr>
          <w:rFonts w:ascii="Calibri" w:hAnsi="Calibri" w:cs="Calibri"/>
        </w:rPr>
      </w:pPr>
      <w:r w:rsidRPr="000245F1">
        <w:rPr>
          <w:rFonts w:ascii="Calibri" w:hAnsi="Calibri" w:cs="Calibri"/>
        </w:rPr>
        <w:lastRenderedPageBreak/>
        <w:t>A bias for research fields where peer-reviewed multi-authored journal articles are the standard research outputs, to the detriment of disciplines valuing other modes of dissemination (e.g. monographs, datasets, policy recommendations) and single-authorship</w:t>
      </w:r>
      <w:r w:rsidR="00700FB2">
        <w:rPr>
          <w:rFonts w:ascii="Calibri" w:hAnsi="Calibri" w:cs="Calibri"/>
        </w:rPr>
        <w:t>,</w:t>
      </w:r>
      <w:r w:rsidR="00700FB2" w:rsidRPr="00700FB2">
        <w:rPr>
          <w:rFonts w:ascii="Calibri" w:hAnsi="Calibri" w:cs="Calibri"/>
        </w:rPr>
        <w:t xml:space="preserve"> </w:t>
      </w:r>
    </w:p>
    <w:p w14:paraId="74B46E02" w14:textId="1542133F" w:rsidR="00D5214D" w:rsidRDefault="00700FB2" w:rsidP="00D5214D">
      <w:pPr>
        <w:pStyle w:val="ListParagraph"/>
        <w:numPr>
          <w:ilvl w:val="0"/>
          <w:numId w:val="6"/>
        </w:numPr>
        <w:rPr>
          <w:rFonts w:ascii="Calibri" w:hAnsi="Calibri" w:cs="Calibri"/>
        </w:rPr>
      </w:pPr>
      <w:r w:rsidRPr="000245F1">
        <w:rPr>
          <w:rFonts w:ascii="Calibri" w:hAnsi="Calibri" w:cs="Calibri"/>
        </w:rPr>
        <w:t>A focus on quantity over quality, leading to the development of an unsustainable and toxic ‘publish or perish’ research culture</w:t>
      </w:r>
      <w:r>
        <w:rPr>
          <w:rFonts w:ascii="Calibri" w:hAnsi="Calibri" w:cs="Calibri"/>
        </w:rPr>
        <w:t>.</w:t>
      </w:r>
      <w:r w:rsidR="00E777CA" w:rsidRPr="00E777CA">
        <w:rPr>
          <w:rStyle w:val="FootnoteReference"/>
          <w:rFonts w:ascii="Calibri" w:hAnsi="Calibri" w:cs="Calibri"/>
        </w:rPr>
        <w:t xml:space="preserve"> </w:t>
      </w:r>
      <w:r w:rsidR="00E777CA">
        <w:rPr>
          <w:rStyle w:val="FootnoteReference"/>
          <w:rFonts w:ascii="Calibri" w:hAnsi="Calibri" w:cs="Calibri"/>
        </w:rPr>
        <w:footnoteReference w:id="5"/>
      </w:r>
    </w:p>
    <w:p w14:paraId="5FAA3053" w14:textId="533F30D8" w:rsidR="00892B88" w:rsidRDefault="00F824A2" w:rsidP="00892B88">
      <w:pPr>
        <w:rPr>
          <w:rFonts w:ascii="Calibri" w:hAnsi="Calibri" w:cs="Calibri"/>
        </w:rPr>
      </w:pPr>
      <w:r>
        <w:rPr>
          <w:rFonts w:ascii="Calibri" w:hAnsi="Calibri" w:cs="Calibri"/>
        </w:rPr>
        <w:t>Current traditional research assessment methods also impoverish the research landscape and</w:t>
      </w:r>
      <w:r w:rsidR="00FE6630">
        <w:rPr>
          <w:rFonts w:ascii="Calibri" w:hAnsi="Calibri" w:cs="Calibri"/>
        </w:rPr>
        <w:t xml:space="preserve"> ‘(…) often</w:t>
      </w:r>
      <w:r w:rsidR="00DC73D3" w:rsidRPr="009E4F1E">
        <w:rPr>
          <w:rFonts w:ascii="Calibri" w:hAnsi="Calibri" w:cs="Calibri"/>
        </w:rPr>
        <w:t xml:space="preserve"> </w:t>
      </w:r>
      <w:r w:rsidR="00DC73D3">
        <w:rPr>
          <w:rFonts w:ascii="Calibri" w:hAnsi="Calibri" w:cs="Calibri"/>
        </w:rPr>
        <w:t>(…)</w:t>
      </w:r>
      <w:r w:rsidR="00DC73D3" w:rsidRPr="009E4F1E">
        <w:rPr>
          <w:rFonts w:ascii="Calibri" w:hAnsi="Calibri" w:cs="Calibri"/>
        </w:rPr>
        <w:t xml:space="preserve"> overlook valuable contributions including peer-review, committee</w:t>
      </w:r>
      <w:r w:rsidR="00DC73D3">
        <w:rPr>
          <w:rFonts w:ascii="Calibri" w:hAnsi="Calibri" w:cs="Calibri"/>
        </w:rPr>
        <w:t xml:space="preserve"> </w:t>
      </w:r>
      <w:r w:rsidR="00DC73D3" w:rsidRPr="009E4F1E">
        <w:rPr>
          <w:rFonts w:ascii="Calibri" w:hAnsi="Calibri" w:cs="Calibri"/>
        </w:rPr>
        <w:t>participation, outreach, and the translation of research into impact within society</w:t>
      </w:r>
      <w:r w:rsidR="00892B88">
        <w:rPr>
          <w:rFonts w:ascii="Calibri" w:hAnsi="Calibri" w:cs="Calibri"/>
        </w:rPr>
        <w:t>’.</w:t>
      </w:r>
      <w:r w:rsidR="00BA456B">
        <w:rPr>
          <w:rStyle w:val="FootnoteReference"/>
          <w:rFonts w:ascii="Calibri" w:hAnsi="Calibri" w:cs="Calibri"/>
        </w:rPr>
        <w:footnoteReference w:id="6"/>
      </w:r>
      <w:r w:rsidR="001560B6">
        <w:rPr>
          <w:rFonts w:ascii="Calibri" w:hAnsi="Calibri" w:cs="Calibri"/>
        </w:rPr>
        <w:t xml:space="preserve"> At best, the </w:t>
      </w:r>
      <w:r w:rsidR="00101556">
        <w:rPr>
          <w:rFonts w:ascii="Calibri" w:hAnsi="Calibri" w:cs="Calibri"/>
        </w:rPr>
        <w:t>traditional</w:t>
      </w:r>
      <w:r w:rsidR="001560B6">
        <w:rPr>
          <w:rFonts w:ascii="Calibri" w:hAnsi="Calibri" w:cs="Calibri"/>
        </w:rPr>
        <w:t xml:space="preserve"> system does not</w:t>
      </w:r>
      <w:r w:rsidR="00CC676A">
        <w:rPr>
          <w:rFonts w:ascii="Calibri" w:hAnsi="Calibri" w:cs="Calibri"/>
        </w:rPr>
        <w:t xml:space="preserve"> attach any value to open research practices; at its worst, it could be argued that it does in fact hinder engagement with open research</w:t>
      </w:r>
      <w:r w:rsidR="00FB2251">
        <w:rPr>
          <w:rFonts w:ascii="Calibri" w:hAnsi="Calibri" w:cs="Calibri"/>
        </w:rPr>
        <w:t>, in its</w:t>
      </w:r>
      <w:r w:rsidR="00101556">
        <w:rPr>
          <w:rFonts w:ascii="Calibri" w:hAnsi="Calibri" w:cs="Calibri"/>
        </w:rPr>
        <w:t xml:space="preserve"> exclusive</w:t>
      </w:r>
      <w:r w:rsidR="00FB2251">
        <w:rPr>
          <w:rFonts w:ascii="Calibri" w:hAnsi="Calibri" w:cs="Calibri"/>
        </w:rPr>
        <w:t xml:space="preserve"> focus on </w:t>
      </w:r>
      <w:r w:rsidR="007F7AD6">
        <w:rPr>
          <w:rFonts w:ascii="Calibri" w:hAnsi="Calibri" w:cs="Calibri"/>
        </w:rPr>
        <w:t>publications and ‘high-quality’</w:t>
      </w:r>
      <w:r w:rsidR="005A14B0">
        <w:rPr>
          <w:rFonts w:ascii="Calibri" w:hAnsi="Calibri" w:cs="Calibri"/>
        </w:rPr>
        <w:t xml:space="preserve"> </w:t>
      </w:r>
      <w:r w:rsidR="007F7AD6">
        <w:rPr>
          <w:rFonts w:ascii="Calibri" w:hAnsi="Calibri" w:cs="Calibri"/>
        </w:rPr>
        <w:t>outlets</w:t>
      </w:r>
      <w:r w:rsidR="00FB2251">
        <w:rPr>
          <w:rFonts w:ascii="Calibri" w:hAnsi="Calibri" w:cs="Calibri"/>
        </w:rPr>
        <w:t>.</w:t>
      </w:r>
      <w:r w:rsidR="0000013C">
        <w:rPr>
          <w:rFonts w:ascii="Calibri" w:hAnsi="Calibri" w:cs="Calibri"/>
        </w:rPr>
        <w:t xml:space="preserve"> </w:t>
      </w:r>
    </w:p>
    <w:p w14:paraId="315BE944" w14:textId="0B689069" w:rsidR="00BC57D3" w:rsidRPr="008F7C34" w:rsidRDefault="005D5B72" w:rsidP="00892B88">
      <w:pPr>
        <w:rPr>
          <w:rFonts w:ascii="Calibri" w:hAnsi="Calibri" w:cs="Calibri"/>
        </w:rPr>
      </w:pPr>
      <w:r w:rsidRPr="008560B1">
        <w:rPr>
          <w:rFonts w:ascii="Calibri" w:hAnsi="Calibri" w:cs="Calibri"/>
          <w:b/>
          <w:bCs/>
        </w:rPr>
        <w:t xml:space="preserve">Reform is therefore needed for a new research evaluation </w:t>
      </w:r>
      <w:r w:rsidR="00705A33" w:rsidRPr="008560B1">
        <w:rPr>
          <w:rFonts w:ascii="Calibri" w:hAnsi="Calibri" w:cs="Calibri"/>
          <w:b/>
          <w:bCs/>
        </w:rPr>
        <w:t>paradigm</w:t>
      </w:r>
      <w:r w:rsidRPr="008560B1">
        <w:rPr>
          <w:rFonts w:ascii="Calibri" w:hAnsi="Calibri" w:cs="Calibri"/>
          <w:b/>
          <w:bCs/>
        </w:rPr>
        <w:t xml:space="preserve"> that aligns with the values promoted </w:t>
      </w:r>
      <w:r w:rsidR="008E7D7D" w:rsidRPr="008560B1">
        <w:rPr>
          <w:rFonts w:ascii="Calibri" w:hAnsi="Calibri" w:cs="Calibri"/>
          <w:b/>
          <w:bCs/>
        </w:rPr>
        <w:t>by</w:t>
      </w:r>
      <w:r w:rsidRPr="008560B1">
        <w:rPr>
          <w:rFonts w:ascii="Calibri" w:hAnsi="Calibri" w:cs="Calibri"/>
          <w:b/>
          <w:bCs/>
        </w:rPr>
        <w:t xml:space="preserve"> the </w:t>
      </w:r>
      <w:r w:rsidR="001C02CD" w:rsidRPr="008560B1">
        <w:rPr>
          <w:rFonts w:ascii="Calibri" w:hAnsi="Calibri" w:cs="Calibri"/>
          <w:b/>
          <w:bCs/>
        </w:rPr>
        <w:t>O</w:t>
      </w:r>
      <w:r w:rsidRPr="008560B1">
        <w:rPr>
          <w:rFonts w:ascii="Calibri" w:hAnsi="Calibri" w:cs="Calibri"/>
          <w:b/>
          <w:bCs/>
        </w:rPr>
        <w:t xml:space="preserve">pen </w:t>
      </w:r>
      <w:r w:rsidR="001C02CD" w:rsidRPr="008560B1">
        <w:rPr>
          <w:rFonts w:ascii="Calibri" w:hAnsi="Calibri" w:cs="Calibri"/>
          <w:b/>
          <w:bCs/>
        </w:rPr>
        <w:t>R</w:t>
      </w:r>
      <w:r w:rsidRPr="008560B1">
        <w:rPr>
          <w:rFonts w:ascii="Calibri" w:hAnsi="Calibri" w:cs="Calibri"/>
          <w:b/>
          <w:bCs/>
        </w:rPr>
        <w:t xml:space="preserve">esearch movement, and </w:t>
      </w:r>
      <w:r w:rsidR="00885628" w:rsidRPr="008560B1">
        <w:rPr>
          <w:rFonts w:ascii="Calibri" w:hAnsi="Calibri" w:cs="Calibri"/>
          <w:b/>
          <w:bCs/>
        </w:rPr>
        <w:t>rewards researchers for adopting such practices.</w:t>
      </w:r>
      <w:r w:rsidR="00885628">
        <w:rPr>
          <w:rFonts w:ascii="Calibri" w:hAnsi="Calibri" w:cs="Calibri"/>
        </w:rPr>
        <w:t xml:space="preserve"> New assessment methods should acknowledge </w:t>
      </w:r>
      <w:r w:rsidR="00BC57D3">
        <w:rPr>
          <w:rFonts w:ascii="Calibri" w:hAnsi="Calibri" w:cs="Calibri"/>
        </w:rPr>
        <w:t xml:space="preserve">and value </w:t>
      </w:r>
      <w:r w:rsidR="00885628">
        <w:rPr>
          <w:rFonts w:ascii="Calibri" w:hAnsi="Calibri" w:cs="Calibri"/>
        </w:rPr>
        <w:t xml:space="preserve">the diversity of research activities and </w:t>
      </w:r>
      <w:r w:rsidR="00BC57D3">
        <w:rPr>
          <w:rFonts w:ascii="Calibri" w:hAnsi="Calibri" w:cs="Calibri"/>
        </w:rPr>
        <w:t>research career paths,</w:t>
      </w:r>
      <w:r w:rsidR="001C02CD">
        <w:rPr>
          <w:rStyle w:val="FootnoteReference"/>
          <w:rFonts w:ascii="Calibri" w:hAnsi="Calibri" w:cs="Calibri"/>
        </w:rPr>
        <w:footnoteReference w:id="7"/>
      </w:r>
      <w:r w:rsidR="00BC57D3">
        <w:rPr>
          <w:rFonts w:ascii="Calibri" w:hAnsi="Calibri" w:cs="Calibri"/>
        </w:rPr>
        <w:t xml:space="preserve"> and</w:t>
      </w:r>
      <w:r w:rsidR="00082818">
        <w:rPr>
          <w:rFonts w:ascii="Calibri" w:hAnsi="Calibri" w:cs="Calibri"/>
        </w:rPr>
        <w:t xml:space="preserve"> they should</w:t>
      </w:r>
      <w:r w:rsidR="00BC57D3">
        <w:rPr>
          <w:rFonts w:ascii="Calibri" w:hAnsi="Calibri" w:cs="Calibri"/>
        </w:rPr>
        <w:t xml:space="preserve"> focus on quality and impact of research. </w:t>
      </w:r>
      <w:r w:rsidR="00776625">
        <w:rPr>
          <w:rFonts w:ascii="Calibri" w:hAnsi="Calibri" w:cs="Calibri"/>
        </w:rPr>
        <w:t xml:space="preserve">Such arguments are not new: </w:t>
      </w:r>
      <w:proofErr w:type="spellStart"/>
      <w:r w:rsidR="00084890" w:rsidRPr="008560B1">
        <w:rPr>
          <w:rFonts w:ascii="Calibri" w:hAnsi="Calibri" w:cs="Calibri"/>
          <w:b/>
          <w:bCs/>
        </w:rPr>
        <w:t>CoARA’s</w:t>
      </w:r>
      <w:proofErr w:type="spellEnd"/>
      <w:r w:rsidR="00084890" w:rsidRPr="008560B1">
        <w:rPr>
          <w:rFonts w:ascii="Calibri" w:hAnsi="Calibri" w:cs="Calibri"/>
          <w:b/>
          <w:bCs/>
        </w:rPr>
        <w:t xml:space="preserve"> Agreement of Reforming Research Assessment (2022)</w:t>
      </w:r>
      <w:r w:rsidR="005419E9">
        <w:rPr>
          <w:rFonts w:ascii="Calibri" w:hAnsi="Calibri" w:cs="Calibri"/>
        </w:rPr>
        <w:t xml:space="preserve"> for instance</w:t>
      </w:r>
      <w:r w:rsidR="00084890">
        <w:rPr>
          <w:rFonts w:ascii="Calibri" w:hAnsi="Calibri" w:cs="Calibri"/>
        </w:rPr>
        <w:t xml:space="preserve"> </w:t>
      </w:r>
      <w:r w:rsidR="003A0CE5">
        <w:rPr>
          <w:rFonts w:ascii="Calibri" w:hAnsi="Calibri" w:cs="Calibri"/>
        </w:rPr>
        <w:t>places openness at the core of its guiding principles for assessment criteria and processes</w:t>
      </w:r>
      <w:r w:rsidR="008F7C34">
        <w:rPr>
          <w:rFonts w:ascii="Calibri" w:hAnsi="Calibri" w:cs="Calibri"/>
        </w:rPr>
        <w:t>:</w:t>
      </w:r>
    </w:p>
    <w:p w14:paraId="4E2D7313" w14:textId="77777777" w:rsidR="00C9030D" w:rsidRPr="000245F1" w:rsidRDefault="00D34DBC" w:rsidP="00C9030D">
      <w:pPr>
        <w:ind w:left="720"/>
        <w:rPr>
          <w:rFonts w:ascii="Calibri" w:hAnsi="Calibri" w:cs="Calibri"/>
        </w:rPr>
      </w:pPr>
      <w:r w:rsidRPr="000245F1">
        <w:rPr>
          <w:rFonts w:ascii="Calibri" w:hAnsi="Calibri" w:cs="Calibri"/>
        </w:rPr>
        <w:t>Quality implies that research is carried out through transparent research processes and methodologies and through research management allowing systematic re-use of previous results. Openness of research, and results that are verifiable and reproducible where applicable, strongly contribute to quality. Openness corresponds to early knowledge and data sharing, as well as open collaboration including societal engagement where appropriate</w:t>
      </w:r>
      <w:r w:rsidR="00C9030D" w:rsidRPr="000245F1">
        <w:rPr>
          <w:rFonts w:ascii="Calibri" w:hAnsi="Calibri" w:cs="Calibri"/>
        </w:rPr>
        <w:t>.</w:t>
      </w:r>
      <w:r w:rsidR="00C9030D" w:rsidRPr="000245F1">
        <w:rPr>
          <w:rStyle w:val="FootnoteReference"/>
          <w:rFonts w:ascii="Calibri" w:hAnsi="Calibri" w:cs="Calibri"/>
        </w:rPr>
        <w:footnoteReference w:id="8"/>
      </w:r>
    </w:p>
    <w:p w14:paraId="1F532BD6" w14:textId="38F7B224" w:rsidR="000515BB" w:rsidRDefault="00B47335" w:rsidP="00C14CF9">
      <w:pPr>
        <w:rPr>
          <w:rFonts w:ascii="Calibri" w:hAnsi="Calibri" w:cs="Calibri"/>
        </w:rPr>
      </w:pPr>
      <w:r w:rsidRPr="000F410A">
        <w:rPr>
          <w:rFonts w:ascii="Calibri" w:hAnsi="Calibri" w:cs="Calibri"/>
          <w:b/>
          <w:bCs/>
        </w:rPr>
        <w:t>The Responsible</w:t>
      </w:r>
      <w:r w:rsidR="008E0A4C" w:rsidRPr="000F410A">
        <w:rPr>
          <w:rFonts w:ascii="Calibri" w:hAnsi="Calibri" w:cs="Calibri"/>
          <w:b/>
          <w:bCs/>
        </w:rPr>
        <w:t xml:space="preserve"> Research Assessment movement is gaining traction internationally</w:t>
      </w:r>
      <w:r w:rsidR="008E0A4C">
        <w:rPr>
          <w:rFonts w:ascii="Calibri" w:hAnsi="Calibri" w:cs="Calibri"/>
        </w:rPr>
        <w:t xml:space="preserve">, suggesting a strong appetite for change. </w:t>
      </w:r>
      <w:r w:rsidR="001C3C34" w:rsidRPr="000245F1">
        <w:rPr>
          <w:rFonts w:ascii="Calibri" w:hAnsi="Calibri" w:cs="Calibri"/>
        </w:rPr>
        <w:t xml:space="preserve">796 organisations </w:t>
      </w:r>
      <w:r w:rsidR="0001177B" w:rsidRPr="000245F1">
        <w:rPr>
          <w:rFonts w:ascii="Calibri" w:hAnsi="Calibri" w:cs="Calibri"/>
        </w:rPr>
        <w:t xml:space="preserve">have now signed </w:t>
      </w:r>
      <w:proofErr w:type="spellStart"/>
      <w:r w:rsidR="008E0A4C">
        <w:rPr>
          <w:rFonts w:ascii="Calibri" w:hAnsi="Calibri" w:cs="Calibri"/>
        </w:rPr>
        <w:t>CoARA’s</w:t>
      </w:r>
      <w:proofErr w:type="spellEnd"/>
      <w:r w:rsidR="0001177B" w:rsidRPr="000245F1">
        <w:rPr>
          <w:rFonts w:ascii="Calibri" w:hAnsi="Calibri" w:cs="Calibri"/>
        </w:rPr>
        <w:t xml:space="preserve"> Agreement</w:t>
      </w:r>
      <w:r w:rsidR="00D94E7A" w:rsidRPr="000245F1">
        <w:rPr>
          <w:rFonts w:ascii="Calibri" w:hAnsi="Calibri" w:cs="Calibri"/>
        </w:rPr>
        <w:t xml:space="preserve"> on Reforming Research Assessment</w:t>
      </w:r>
      <w:r w:rsidR="0001177B" w:rsidRPr="000245F1">
        <w:rPr>
          <w:rFonts w:ascii="Calibri" w:hAnsi="Calibri" w:cs="Calibri"/>
        </w:rPr>
        <w:t>,</w:t>
      </w:r>
      <w:r w:rsidR="005801E5" w:rsidRPr="000245F1">
        <w:rPr>
          <w:rStyle w:val="FootnoteReference"/>
          <w:rFonts w:ascii="Calibri" w:hAnsi="Calibri" w:cs="Calibri"/>
        </w:rPr>
        <w:footnoteReference w:id="9"/>
      </w:r>
      <w:r w:rsidR="0001177B" w:rsidRPr="000245F1">
        <w:rPr>
          <w:rFonts w:ascii="Calibri" w:hAnsi="Calibri" w:cs="Calibri"/>
        </w:rPr>
        <w:t xml:space="preserve"> including </w:t>
      </w:r>
      <w:r w:rsidR="004F6F84" w:rsidRPr="000245F1">
        <w:rPr>
          <w:rFonts w:ascii="Calibri" w:hAnsi="Calibri" w:cs="Calibri"/>
        </w:rPr>
        <w:t>10 HEIs and 2 funding agencies in the Republic of Ireland</w:t>
      </w:r>
      <w:r w:rsidR="00D94E7A" w:rsidRPr="000245F1">
        <w:rPr>
          <w:rFonts w:ascii="Calibri" w:hAnsi="Calibri" w:cs="Calibri"/>
        </w:rPr>
        <w:t xml:space="preserve"> (S</w:t>
      </w:r>
      <w:r w:rsidR="00B1452C">
        <w:rPr>
          <w:rFonts w:ascii="Calibri" w:hAnsi="Calibri" w:cs="Calibri"/>
        </w:rPr>
        <w:t xml:space="preserve">cience </w:t>
      </w:r>
      <w:r w:rsidR="00D94E7A" w:rsidRPr="000245F1">
        <w:rPr>
          <w:rFonts w:ascii="Calibri" w:hAnsi="Calibri" w:cs="Calibri"/>
        </w:rPr>
        <w:t>F</w:t>
      </w:r>
      <w:r w:rsidR="00B1452C">
        <w:rPr>
          <w:rFonts w:ascii="Calibri" w:hAnsi="Calibri" w:cs="Calibri"/>
        </w:rPr>
        <w:t xml:space="preserve">oundation </w:t>
      </w:r>
      <w:r w:rsidR="00D94E7A" w:rsidRPr="000245F1">
        <w:rPr>
          <w:rFonts w:ascii="Calibri" w:hAnsi="Calibri" w:cs="Calibri"/>
        </w:rPr>
        <w:t>I</w:t>
      </w:r>
      <w:r w:rsidR="00B1452C">
        <w:rPr>
          <w:rFonts w:ascii="Calibri" w:hAnsi="Calibri" w:cs="Calibri"/>
        </w:rPr>
        <w:t xml:space="preserve">reland, now </w:t>
      </w:r>
      <w:proofErr w:type="spellStart"/>
      <w:r w:rsidR="00B1452C">
        <w:rPr>
          <w:rFonts w:ascii="Calibri" w:hAnsi="Calibri" w:cs="Calibri"/>
        </w:rPr>
        <w:t>Táighde</w:t>
      </w:r>
      <w:proofErr w:type="spellEnd"/>
      <w:r w:rsidR="00B1452C">
        <w:rPr>
          <w:rFonts w:ascii="Calibri" w:hAnsi="Calibri" w:cs="Calibri"/>
        </w:rPr>
        <w:t xml:space="preserve"> Eireann,</w:t>
      </w:r>
      <w:r w:rsidR="00D94E7A" w:rsidRPr="000245F1">
        <w:rPr>
          <w:rFonts w:ascii="Calibri" w:hAnsi="Calibri" w:cs="Calibri"/>
        </w:rPr>
        <w:t xml:space="preserve"> and H</w:t>
      </w:r>
      <w:r w:rsidR="00B1452C">
        <w:rPr>
          <w:rFonts w:ascii="Calibri" w:hAnsi="Calibri" w:cs="Calibri"/>
        </w:rPr>
        <w:t xml:space="preserve">ealth </w:t>
      </w:r>
      <w:r w:rsidR="00D94E7A" w:rsidRPr="000245F1">
        <w:rPr>
          <w:rFonts w:ascii="Calibri" w:hAnsi="Calibri" w:cs="Calibri"/>
        </w:rPr>
        <w:t>R</w:t>
      </w:r>
      <w:r w:rsidR="00B1452C">
        <w:rPr>
          <w:rFonts w:ascii="Calibri" w:hAnsi="Calibri" w:cs="Calibri"/>
        </w:rPr>
        <w:t xml:space="preserve">esearch </w:t>
      </w:r>
      <w:r w:rsidR="00D94E7A" w:rsidRPr="000245F1">
        <w:rPr>
          <w:rFonts w:ascii="Calibri" w:hAnsi="Calibri" w:cs="Calibri"/>
        </w:rPr>
        <w:t>B</w:t>
      </w:r>
      <w:r w:rsidR="00B1452C">
        <w:rPr>
          <w:rFonts w:ascii="Calibri" w:hAnsi="Calibri" w:cs="Calibri"/>
        </w:rPr>
        <w:t>oard</w:t>
      </w:r>
      <w:r w:rsidR="00D94E7A" w:rsidRPr="000245F1">
        <w:rPr>
          <w:rFonts w:ascii="Calibri" w:hAnsi="Calibri" w:cs="Calibri"/>
        </w:rPr>
        <w:t xml:space="preserve">). </w:t>
      </w:r>
      <w:r w:rsidR="000F58B4" w:rsidRPr="008A6275">
        <w:rPr>
          <w:rFonts w:ascii="Calibri" w:hAnsi="Calibri" w:cs="Calibri"/>
          <w:b/>
          <w:bCs/>
        </w:rPr>
        <w:t>But</w:t>
      </w:r>
      <w:r w:rsidR="000F58B4">
        <w:rPr>
          <w:rFonts w:ascii="Calibri" w:hAnsi="Calibri" w:cs="Calibri"/>
        </w:rPr>
        <w:t xml:space="preserve"> </w:t>
      </w:r>
      <w:r w:rsidR="000F58B4" w:rsidRPr="000F410A">
        <w:rPr>
          <w:rFonts w:ascii="Calibri" w:hAnsi="Calibri" w:cs="Calibri"/>
          <w:b/>
          <w:bCs/>
        </w:rPr>
        <w:t>implementation on the ground remains patchy</w:t>
      </w:r>
      <w:r w:rsidR="000F58B4">
        <w:rPr>
          <w:rFonts w:ascii="Calibri" w:hAnsi="Calibri" w:cs="Calibri"/>
        </w:rPr>
        <w:t xml:space="preserve">, </w:t>
      </w:r>
      <w:r w:rsidR="00F2252C">
        <w:rPr>
          <w:rFonts w:ascii="Calibri" w:hAnsi="Calibri" w:cs="Calibri"/>
        </w:rPr>
        <w:t xml:space="preserve">with a disconnect between policies encouraging Open Research practices and the incentivisation and </w:t>
      </w:r>
      <w:r w:rsidR="00BB7210">
        <w:rPr>
          <w:rFonts w:ascii="Calibri" w:hAnsi="Calibri" w:cs="Calibri"/>
        </w:rPr>
        <w:t xml:space="preserve">evaluation system faced by most researchers in their daily professional lives. Until both levels are aligned, </w:t>
      </w:r>
      <w:r w:rsidR="000515BB">
        <w:rPr>
          <w:rFonts w:ascii="Calibri" w:hAnsi="Calibri" w:cs="Calibri"/>
        </w:rPr>
        <w:t>we cannot expect</w:t>
      </w:r>
      <w:r w:rsidR="008A6275">
        <w:rPr>
          <w:rFonts w:ascii="Calibri" w:hAnsi="Calibri" w:cs="Calibri"/>
        </w:rPr>
        <w:t xml:space="preserve"> </w:t>
      </w:r>
      <w:r w:rsidR="000515BB">
        <w:rPr>
          <w:rFonts w:ascii="Calibri" w:hAnsi="Calibri" w:cs="Calibri"/>
        </w:rPr>
        <w:t xml:space="preserve">researchers to adopt </w:t>
      </w:r>
      <w:r w:rsidR="00023BE1">
        <w:rPr>
          <w:rFonts w:ascii="Calibri" w:hAnsi="Calibri" w:cs="Calibri"/>
        </w:rPr>
        <w:t>Open Research</w:t>
      </w:r>
      <w:r w:rsidR="000515BB">
        <w:rPr>
          <w:rFonts w:ascii="Calibri" w:hAnsi="Calibri" w:cs="Calibri"/>
        </w:rPr>
        <w:t xml:space="preserve"> practices and change their behaviours.</w:t>
      </w:r>
    </w:p>
    <w:p w14:paraId="1A0F45F4" w14:textId="77777777" w:rsidR="004675FA" w:rsidRDefault="004675FA" w:rsidP="00C14CF9">
      <w:pPr>
        <w:rPr>
          <w:rFonts w:ascii="Calibri" w:hAnsi="Calibri" w:cs="Calibri"/>
        </w:rPr>
      </w:pPr>
    </w:p>
    <w:p w14:paraId="1C238770" w14:textId="534B6FD0" w:rsidR="004675FA" w:rsidRPr="00E01EEC" w:rsidRDefault="00DF2320" w:rsidP="00E01EEC">
      <w:pPr>
        <w:pStyle w:val="ListParagraph"/>
        <w:numPr>
          <w:ilvl w:val="0"/>
          <w:numId w:val="1"/>
        </w:numPr>
        <w:rPr>
          <w:rFonts w:ascii="Calibri" w:hAnsi="Calibri" w:cs="Calibri"/>
          <w:b/>
          <w:bCs/>
        </w:rPr>
      </w:pPr>
      <w:r w:rsidRPr="00E01EEC">
        <w:rPr>
          <w:rFonts w:ascii="Calibri" w:hAnsi="Calibri" w:cs="Calibri"/>
          <w:b/>
          <w:bCs/>
        </w:rPr>
        <w:t>The need for incen</w:t>
      </w:r>
      <w:r w:rsidR="00411F5D" w:rsidRPr="00E01EEC">
        <w:rPr>
          <w:rFonts w:ascii="Calibri" w:hAnsi="Calibri" w:cs="Calibri"/>
          <w:b/>
          <w:bCs/>
        </w:rPr>
        <w:t>tivisation at a system level</w:t>
      </w:r>
    </w:p>
    <w:p w14:paraId="72EE6D55" w14:textId="483518DC" w:rsidR="000D6AA5" w:rsidRDefault="00411F5D" w:rsidP="000D6AA5">
      <w:r>
        <w:rPr>
          <w:rFonts w:ascii="Calibri" w:hAnsi="Calibri" w:cs="Calibri"/>
        </w:rPr>
        <w:t xml:space="preserve">One of the key obstacles to implementing </w:t>
      </w:r>
      <w:r w:rsidR="00426B02">
        <w:rPr>
          <w:rFonts w:ascii="Calibri" w:hAnsi="Calibri" w:cs="Calibri"/>
        </w:rPr>
        <w:t>the responsible</w:t>
      </w:r>
      <w:r>
        <w:rPr>
          <w:rFonts w:ascii="Calibri" w:hAnsi="Calibri" w:cs="Calibri"/>
        </w:rPr>
        <w:t xml:space="preserve"> research assess</w:t>
      </w:r>
      <w:r w:rsidR="00550451">
        <w:rPr>
          <w:rFonts w:ascii="Calibri" w:hAnsi="Calibri" w:cs="Calibri"/>
        </w:rPr>
        <w:t>ment reform</w:t>
      </w:r>
      <w:r w:rsidR="0065752A">
        <w:rPr>
          <w:rFonts w:ascii="Calibri" w:hAnsi="Calibri" w:cs="Calibri"/>
        </w:rPr>
        <w:t xml:space="preserve"> remains </w:t>
      </w:r>
      <w:r w:rsidR="00EA284D">
        <w:rPr>
          <w:rFonts w:ascii="Calibri" w:hAnsi="Calibri" w:cs="Calibri"/>
        </w:rPr>
        <w:t xml:space="preserve">the </w:t>
      </w:r>
      <w:r w:rsidR="00EA284D" w:rsidRPr="00260A86">
        <w:rPr>
          <w:rFonts w:ascii="Calibri" w:hAnsi="Calibri" w:cs="Calibri"/>
          <w:b/>
          <w:bCs/>
        </w:rPr>
        <w:t xml:space="preserve">lack of </w:t>
      </w:r>
      <w:r w:rsidR="001B2F90" w:rsidRPr="00260A86">
        <w:rPr>
          <w:rFonts w:ascii="Calibri" w:hAnsi="Calibri" w:cs="Calibri"/>
          <w:b/>
          <w:bCs/>
        </w:rPr>
        <w:t>coherence</w:t>
      </w:r>
      <w:r w:rsidR="00EA284D" w:rsidRPr="00260A86">
        <w:rPr>
          <w:rFonts w:ascii="Calibri" w:hAnsi="Calibri" w:cs="Calibri"/>
          <w:b/>
          <w:bCs/>
        </w:rPr>
        <w:t xml:space="preserve"> </w:t>
      </w:r>
      <w:r w:rsidR="00677848" w:rsidRPr="00260A86">
        <w:rPr>
          <w:rFonts w:ascii="Calibri" w:hAnsi="Calibri" w:cs="Calibri"/>
          <w:b/>
          <w:bCs/>
        </w:rPr>
        <w:t>among</w:t>
      </w:r>
      <w:r w:rsidR="00EA284D" w:rsidRPr="00260A86">
        <w:rPr>
          <w:rFonts w:ascii="Calibri" w:hAnsi="Calibri" w:cs="Calibri"/>
          <w:b/>
          <w:bCs/>
        </w:rPr>
        <w:t xml:space="preserve"> the key stakeholders in the research eco</w:t>
      </w:r>
      <w:r w:rsidR="0074285F" w:rsidRPr="00260A86">
        <w:rPr>
          <w:rFonts w:ascii="Calibri" w:hAnsi="Calibri" w:cs="Calibri"/>
          <w:b/>
          <w:bCs/>
        </w:rPr>
        <w:t xml:space="preserve">system, </w:t>
      </w:r>
      <w:r w:rsidR="00881E1C" w:rsidRPr="00260A86">
        <w:rPr>
          <w:rFonts w:ascii="Calibri" w:hAnsi="Calibri" w:cs="Calibri"/>
          <w:b/>
          <w:bCs/>
        </w:rPr>
        <w:t xml:space="preserve">including </w:t>
      </w:r>
      <w:r w:rsidR="00881E1C" w:rsidRPr="00260A86">
        <w:rPr>
          <w:b/>
          <w:bCs/>
        </w:rPr>
        <w:t>sponsoring</w:t>
      </w:r>
      <w:r w:rsidR="0018108C" w:rsidRPr="00260A86">
        <w:rPr>
          <w:b/>
          <w:bCs/>
        </w:rPr>
        <w:t xml:space="preserve"> </w:t>
      </w:r>
      <w:r w:rsidR="00881E1C" w:rsidRPr="00260A86">
        <w:rPr>
          <w:b/>
          <w:bCs/>
        </w:rPr>
        <w:t>government department, research performing institutions, research funders</w:t>
      </w:r>
      <w:r w:rsidR="0018108C" w:rsidRPr="00260A86">
        <w:rPr>
          <w:b/>
          <w:bCs/>
        </w:rPr>
        <w:t>,</w:t>
      </w:r>
      <w:r w:rsidR="00881E1C" w:rsidRPr="00260A86">
        <w:rPr>
          <w:b/>
          <w:bCs/>
        </w:rPr>
        <w:t xml:space="preserve"> and researchers</w:t>
      </w:r>
      <w:r w:rsidR="0018108C">
        <w:t xml:space="preserve">. At </w:t>
      </w:r>
      <w:r w:rsidR="00260A86">
        <w:lastRenderedPageBreak/>
        <w:t>present</w:t>
      </w:r>
      <w:r w:rsidR="0018108C">
        <w:t xml:space="preserve">, </w:t>
      </w:r>
      <w:r w:rsidR="001B2F90">
        <w:t xml:space="preserve">the priorities of those stakeholders are not </w:t>
      </w:r>
      <w:r w:rsidR="00677848">
        <w:t>fully</w:t>
      </w:r>
      <w:r w:rsidR="00B65C67">
        <w:t xml:space="preserve"> aligned</w:t>
      </w:r>
      <w:r w:rsidR="00561D54">
        <w:t>.</w:t>
      </w:r>
      <w:r w:rsidR="00893181">
        <w:rPr>
          <w:rStyle w:val="FootnoteReference"/>
        </w:rPr>
        <w:footnoteReference w:id="10"/>
      </w:r>
      <w:r w:rsidR="007575F8">
        <w:t xml:space="preserve"> </w:t>
      </w:r>
      <w:r w:rsidR="00DD47F3">
        <w:t>Moreover, and a</w:t>
      </w:r>
      <w:r w:rsidR="007575F8">
        <w:t xml:space="preserve">s pointed out in ‘Snapshots’, </w:t>
      </w:r>
      <w:r w:rsidR="00DD47F3">
        <w:t>‘t</w:t>
      </w:r>
      <w:r w:rsidR="00A64A2A">
        <w:t>he global nature of the research community means that any significant reform can generate a ‘first mover</w:t>
      </w:r>
      <w:r w:rsidR="00DD47F3">
        <w:t xml:space="preserve"> </w:t>
      </w:r>
      <w:r w:rsidR="00A64A2A">
        <w:t>disadvantage’, where deviating from standard practice leaves an institution – or researchers – isolated from</w:t>
      </w:r>
      <w:r w:rsidR="00DD47F3">
        <w:t xml:space="preserve"> </w:t>
      </w:r>
      <w:r w:rsidR="00A64A2A">
        <w:t>the wider system</w:t>
      </w:r>
      <w:r w:rsidR="00A64A2A">
        <w:rPr>
          <w:rStyle w:val="FootnoteReference"/>
        </w:rPr>
        <w:t xml:space="preserve"> </w:t>
      </w:r>
      <w:r w:rsidR="00C03BE2">
        <w:t>‘.</w:t>
      </w:r>
      <w:r w:rsidR="007575F8">
        <w:rPr>
          <w:rStyle w:val="FootnoteReference"/>
        </w:rPr>
        <w:footnoteReference w:id="11"/>
      </w:r>
      <w:r w:rsidR="007575F8">
        <w:t xml:space="preserve"> </w:t>
      </w:r>
    </w:p>
    <w:p w14:paraId="1E20BE57" w14:textId="6C88322A" w:rsidR="00C25D5E" w:rsidRDefault="00B93E88" w:rsidP="00C25D5E">
      <w:pPr>
        <w:rPr>
          <w:rFonts w:ascii="Calibri" w:hAnsi="Calibri" w:cs="Calibri"/>
          <w:b/>
          <w:bCs/>
        </w:rPr>
      </w:pPr>
      <w:r>
        <w:t>As demonstrated in ‘System-level Incentivisation of Open Research Practices</w:t>
      </w:r>
      <w:r w:rsidR="00974B59">
        <w:t xml:space="preserve">’ (NORF, 2021), </w:t>
      </w:r>
      <w:r w:rsidR="00974B59" w:rsidRPr="00087490">
        <w:rPr>
          <w:b/>
          <w:bCs/>
        </w:rPr>
        <w:t>‘t</w:t>
      </w:r>
      <w:r w:rsidR="000D6AA5" w:rsidRPr="00087490">
        <w:rPr>
          <w:b/>
          <w:bCs/>
        </w:rPr>
        <w:t xml:space="preserve">he key </w:t>
      </w:r>
      <w:r w:rsidR="00C25D5E" w:rsidRPr="00087490">
        <w:rPr>
          <w:b/>
          <w:bCs/>
        </w:rPr>
        <w:t>challenge, therefore</w:t>
      </w:r>
      <w:r w:rsidR="000D6AA5" w:rsidRPr="00087490">
        <w:rPr>
          <w:b/>
          <w:bCs/>
        </w:rPr>
        <w:t>, is to align incentives and rewards across the government-funding agency-HEI-researcher</w:t>
      </w:r>
      <w:r w:rsidR="00C25D5E" w:rsidRPr="00087490">
        <w:rPr>
          <w:b/>
          <w:bCs/>
        </w:rPr>
        <w:t xml:space="preserve"> </w:t>
      </w:r>
      <w:r w:rsidR="000D6AA5" w:rsidRPr="00087490">
        <w:rPr>
          <w:b/>
          <w:bCs/>
        </w:rPr>
        <w:t xml:space="preserve">ecosystem so that researchers encounter one set of ‘meta-incentives’ </w:t>
      </w:r>
      <w:r w:rsidR="000D6AA5">
        <w:t>encouraging them in one</w:t>
      </w:r>
      <w:r w:rsidR="00A27AA8">
        <w:t xml:space="preserve"> </w:t>
      </w:r>
      <w:r w:rsidR="000D6AA5">
        <w:t>direction, without tension coming from the existence of opposing incentives</w:t>
      </w:r>
      <w:r w:rsidR="00974B59">
        <w:t>’</w:t>
      </w:r>
      <w:r w:rsidR="000D6AA5">
        <w:t>.</w:t>
      </w:r>
      <w:r w:rsidR="00974B59">
        <w:rPr>
          <w:rStyle w:val="FootnoteReference"/>
        </w:rPr>
        <w:footnoteReference w:id="12"/>
      </w:r>
      <w:r w:rsidR="00C25D5E">
        <w:t xml:space="preserve"> </w:t>
      </w:r>
      <w:r w:rsidR="00C25D5E" w:rsidRPr="000245F1">
        <w:rPr>
          <w:rFonts w:ascii="Calibri" w:hAnsi="Calibri" w:cs="Calibri"/>
          <w:b/>
          <w:bCs/>
        </w:rPr>
        <w:t>Until an extensive, coherent incentivisation of Open Research practices is put in place</w:t>
      </w:r>
      <w:r w:rsidR="00C25D5E">
        <w:rPr>
          <w:rFonts w:ascii="Calibri" w:hAnsi="Calibri" w:cs="Calibri"/>
          <w:b/>
          <w:bCs/>
        </w:rPr>
        <w:t xml:space="preserve"> at system level</w:t>
      </w:r>
      <w:r w:rsidR="00C25D5E" w:rsidRPr="000245F1">
        <w:rPr>
          <w:rFonts w:ascii="Calibri" w:hAnsi="Calibri" w:cs="Calibri"/>
          <w:b/>
          <w:bCs/>
        </w:rPr>
        <w:t xml:space="preserve">, the discrepancy between </w:t>
      </w:r>
      <w:r w:rsidR="005D7CFF">
        <w:rPr>
          <w:rFonts w:ascii="Calibri" w:hAnsi="Calibri" w:cs="Calibri"/>
          <w:b/>
          <w:bCs/>
        </w:rPr>
        <w:t>policy</w:t>
      </w:r>
      <w:r w:rsidR="00C25D5E" w:rsidRPr="000245F1">
        <w:rPr>
          <w:rFonts w:ascii="Calibri" w:hAnsi="Calibri" w:cs="Calibri"/>
          <w:b/>
          <w:bCs/>
        </w:rPr>
        <w:t xml:space="preserve"> and behaviour will remain</w:t>
      </w:r>
      <w:r w:rsidR="00A61D05">
        <w:rPr>
          <w:rFonts w:ascii="Calibri" w:hAnsi="Calibri" w:cs="Calibri"/>
          <w:b/>
          <w:bCs/>
        </w:rPr>
        <w:t>.</w:t>
      </w:r>
      <w:r w:rsidR="000871BE">
        <w:rPr>
          <w:rStyle w:val="FootnoteReference"/>
          <w:rFonts w:ascii="Calibri" w:hAnsi="Calibri" w:cs="Calibri"/>
          <w:b/>
          <w:bCs/>
        </w:rPr>
        <w:footnoteReference w:id="13"/>
      </w:r>
    </w:p>
    <w:p w14:paraId="0EDD4E3B" w14:textId="30D90B90" w:rsidR="00D34B93" w:rsidRDefault="00A61D05" w:rsidP="00C25D5E">
      <w:pPr>
        <w:rPr>
          <w:rFonts w:ascii="Calibri" w:hAnsi="Calibri" w:cs="Calibri"/>
        </w:rPr>
      </w:pPr>
      <w:r w:rsidRPr="00A61D05">
        <w:rPr>
          <w:rFonts w:ascii="Calibri" w:hAnsi="Calibri" w:cs="Calibri"/>
          <w:b/>
          <w:bCs/>
        </w:rPr>
        <w:t>Several</w:t>
      </w:r>
      <w:r w:rsidR="00D34B93" w:rsidRPr="00A61D05">
        <w:rPr>
          <w:rFonts w:ascii="Calibri" w:hAnsi="Calibri" w:cs="Calibri"/>
          <w:b/>
          <w:bCs/>
        </w:rPr>
        <w:t xml:space="preserve"> countries </w:t>
      </w:r>
      <w:r w:rsidR="00121327" w:rsidRPr="00A61D05">
        <w:rPr>
          <w:rFonts w:ascii="Calibri" w:hAnsi="Calibri" w:cs="Calibri"/>
          <w:b/>
          <w:bCs/>
        </w:rPr>
        <w:t>have adopted</w:t>
      </w:r>
      <w:r w:rsidR="00D34B93" w:rsidRPr="00A61D05">
        <w:rPr>
          <w:rFonts w:ascii="Calibri" w:hAnsi="Calibri" w:cs="Calibri"/>
          <w:b/>
          <w:bCs/>
        </w:rPr>
        <w:t xml:space="preserve"> </w:t>
      </w:r>
      <w:r w:rsidR="00121327" w:rsidRPr="00A61D05">
        <w:rPr>
          <w:rFonts w:ascii="Calibri" w:hAnsi="Calibri" w:cs="Calibri"/>
          <w:b/>
          <w:bCs/>
        </w:rPr>
        <w:t>a</w:t>
      </w:r>
      <w:r w:rsidR="00D34B93" w:rsidRPr="00A61D05">
        <w:rPr>
          <w:rFonts w:ascii="Calibri" w:hAnsi="Calibri" w:cs="Calibri"/>
          <w:b/>
          <w:bCs/>
        </w:rPr>
        <w:t xml:space="preserve"> system-level approac</w:t>
      </w:r>
      <w:r w:rsidR="00121327" w:rsidRPr="00A61D05">
        <w:rPr>
          <w:rFonts w:ascii="Calibri" w:hAnsi="Calibri" w:cs="Calibri"/>
          <w:b/>
          <w:bCs/>
        </w:rPr>
        <w:t>h, from which Ireland can learn</w:t>
      </w:r>
      <w:r w:rsidR="00121327">
        <w:rPr>
          <w:rFonts w:ascii="Calibri" w:hAnsi="Calibri" w:cs="Calibri"/>
        </w:rPr>
        <w:t xml:space="preserve">. The following exemplars are borrowed from </w:t>
      </w:r>
      <w:r>
        <w:rPr>
          <w:rFonts w:ascii="Calibri" w:hAnsi="Calibri" w:cs="Calibri"/>
        </w:rPr>
        <w:t>‘</w:t>
      </w:r>
      <w:r w:rsidR="00D17E44">
        <w:t>System-level Incentivisation of Open Research Practices’ (NORF, 2021)</w:t>
      </w:r>
      <w:r w:rsidR="00BD4451" w:rsidRPr="00BD4451">
        <w:rPr>
          <w:rFonts w:ascii="Calibri" w:hAnsi="Calibri" w:cs="Calibri"/>
        </w:rPr>
        <w:t>:</w:t>
      </w:r>
    </w:p>
    <w:p w14:paraId="65476230" w14:textId="77777777" w:rsidR="00E97B4A" w:rsidRDefault="00E97B4A" w:rsidP="00C84401">
      <w:pPr>
        <w:autoSpaceDE w:val="0"/>
        <w:autoSpaceDN w:val="0"/>
        <w:adjustRightInd w:val="0"/>
        <w:spacing w:after="0" w:line="240" w:lineRule="auto"/>
        <w:ind w:left="720"/>
        <w:rPr>
          <w:rFonts w:ascii="Calibri-BoldItalic" w:hAnsi="Calibri-BoldItalic" w:cs="Calibri-BoldItalic"/>
          <w:b/>
          <w:bCs/>
          <w:i/>
          <w:iCs/>
          <w:color w:val="000000"/>
          <w:kern w:val="0"/>
        </w:rPr>
      </w:pPr>
      <w:r>
        <w:rPr>
          <w:rFonts w:ascii="Calibri-BoldItalic" w:hAnsi="Calibri-BoldItalic" w:cs="Calibri-BoldItalic"/>
          <w:b/>
          <w:bCs/>
          <w:i/>
          <w:iCs/>
          <w:color w:val="000000"/>
          <w:kern w:val="0"/>
        </w:rPr>
        <w:t>a. Finland</w:t>
      </w:r>
    </w:p>
    <w:p w14:paraId="6C9EAE86" w14:textId="0C8099D7" w:rsidR="00E97B4A" w:rsidRPr="001F11D5" w:rsidRDefault="00E97B4A" w:rsidP="001F11D5">
      <w:pPr>
        <w:autoSpaceDE w:val="0"/>
        <w:autoSpaceDN w:val="0"/>
        <w:adjustRightInd w:val="0"/>
        <w:spacing w:after="0" w:line="240" w:lineRule="auto"/>
        <w:ind w:left="720"/>
        <w:rPr>
          <w:rFonts w:ascii="Calibri" w:hAnsi="Calibri" w:cs="Calibri"/>
          <w:color w:val="000000"/>
          <w:kern w:val="0"/>
        </w:rPr>
      </w:pPr>
      <w:r>
        <w:rPr>
          <w:rFonts w:ascii="Calibri" w:hAnsi="Calibri" w:cs="Calibri"/>
          <w:color w:val="000000"/>
          <w:kern w:val="0"/>
        </w:rPr>
        <w:t>Finland recognises that ‘When researchers, research organisations and funders work together</w:t>
      </w:r>
      <w:r w:rsidR="00146524">
        <w:rPr>
          <w:rFonts w:ascii="Calibri" w:hAnsi="Calibri" w:cs="Calibri"/>
          <w:color w:val="000000"/>
          <w:kern w:val="0"/>
        </w:rPr>
        <w:t xml:space="preserve"> </w:t>
      </w:r>
      <w:r>
        <w:rPr>
          <w:rFonts w:ascii="Calibri" w:hAnsi="Calibri" w:cs="Calibri"/>
          <w:color w:val="000000"/>
          <w:kern w:val="0"/>
        </w:rPr>
        <w:t>towards a common goal, their actions and efforts produce the best results’.</w:t>
      </w:r>
      <w:r w:rsidR="00146524">
        <w:rPr>
          <w:rStyle w:val="FootnoteReference"/>
          <w:rFonts w:ascii="Calibri" w:hAnsi="Calibri" w:cs="Calibri"/>
          <w:color w:val="000000"/>
          <w:kern w:val="0"/>
        </w:rPr>
        <w:footnoteReference w:id="14"/>
      </w:r>
      <w:r>
        <w:rPr>
          <w:rFonts w:ascii="Calibri" w:hAnsi="Calibri" w:cs="Calibri"/>
          <w:color w:val="000000"/>
          <w:kern w:val="0"/>
        </w:rPr>
        <w:t xml:space="preserve"> To that end, it was one</w:t>
      </w:r>
      <w:r w:rsidR="00146524">
        <w:rPr>
          <w:rFonts w:ascii="Calibri" w:hAnsi="Calibri" w:cs="Calibri"/>
          <w:color w:val="000000"/>
          <w:kern w:val="0"/>
        </w:rPr>
        <w:t xml:space="preserve"> </w:t>
      </w:r>
      <w:r>
        <w:rPr>
          <w:rFonts w:ascii="Calibri" w:hAnsi="Calibri" w:cs="Calibri"/>
          <w:color w:val="000000"/>
          <w:kern w:val="0"/>
        </w:rPr>
        <w:t>of the first countries to take a national approach to researcher evaluation. The publication of</w:t>
      </w:r>
      <w:r w:rsidR="00146524">
        <w:rPr>
          <w:rFonts w:ascii="Calibri" w:hAnsi="Calibri" w:cs="Calibri"/>
          <w:color w:val="000000"/>
          <w:kern w:val="0"/>
        </w:rPr>
        <w:t xml:space="preserve"> </w:t>
      </w:r>
      <w:r>
        <w:rPr>
          <w:rFonts w:ascii="Calibri" w:hAnsi="Calibri" w:cs="Calibri"/>
          <w:color w:val="000000"/>
          <w:kern w:val="0"/>
        </w:rPr>
        <w:t>national recommendations</w:t>
      </w:r>
      <w:r>
        <w:rPr>
          <w:rFonts w:ascii="Calibri" w:hAnsi="Calibri" w:cs="Calibri"/>
          <w:color w:val="000000"/>
          <w:kern w:val="0"/>
          <w:sz w:val="13"/>
          <w:szCs w:val="13"/>
        </w:rPr>
        <w:t xml:space="preserve"> </w:t>
      </w:r>
      <w:r>
        <w:rPr>
          <w:rFonts w:ascii="Calibri" w:hAnsi="Calibri" w:cs="Calibri"/>
          <w:color w:val="000000"/>
          <w:kern w:val="0"/>
        </w:rPr>
        <w:t>from a group that consisted of both institutional representatives and</w:t>
      </w:r>
      <w:r w:rsidR="00146524">
        <w:rPr>
          <w:rFonts w:ascii="Calibri" w:hAnsi="Calibri" w:cs="Calibri"/>
          <w:color w:val="000000"/>
          <w:kern w:val="0"/>
        </w:rPr>
        <w:t xml:space="preserve"> </w:t>
      </w:r>
      <w:r>
        <w:rPr>
          <w:rFonts w:ascii="Calibri" w:hAnsi="Calibri" w:cs="Calibri"/>
          <w:color w:val="000000"/>
          <w:kern w:val="0"/>
        </w:rPr>
        <w:t xml:space="preserve">research </w:t>
      </w:r>
      <w:proofErr w:type="gramStart"/>
      <w:r>
        <w:rPr>
          <w:rFonts w:ascii="Calibri" w:hAnsi="Calibri" w:cs="Calibri"/>
          <w:color w:val="000000"/>
          <w:kern w:val="0"/>
        </w:rPr>
        <w:t>funders</w:t>
      </w:r>
      <w:proofErr w:type="gramEnd"/>
      <w:r>
        <w:rPr>
          <w:rFonts w:ascii="Calibri" w:hAnsi="Calibri" w:cs="Calibri"/>
          <w:color w:val="000000"/>
          <w:kern w:val="0"/>
        </w:rPr>
        <w:t xml:space="preserve"> and which are explicitly directed at both groups of organisations; in addition, the</w:t>
      </w:r>
      <w:r w:rsidR="00146524">
        <w:rPr>
          <w:rFonts w:ascii="Calibri" w:hAnsi="Calibri" w:cs="Calibri"/>
          <w:color w:val="000000"/>
          <w:kern w:val="0"/>
        </w:rPr>
        <w:t xml:space="preserve"> </w:t>
      </w:r>
      <w:r>
        <w:rPr>
          <w:rFonts w:ascii="Calibri" w:hAnsi="Calibri" w:cs="Calibri"/>
          <w:kern w:val="0"/>
        </w:rPr>
        <w:t>Fin</w:t>
      </w:r>
      <w:r w:rsidR="00146524">
        <w:rPr>
          <w:rFonts w:ascii="Calibri" w:hAnsi="Calibri" w:cs="Calibri"/>
          <w:kern w:val="0"/>
        </w:rPr>
        <w:t>n</w:t>
      </w:r>
      <w:r>
        <w:rPr>
          <w:rFonts w:ascii="Calibri" w:hAnsi="Calibri" w:cs="Calibri"/>
          <w:kern w:val="0"/>
        </w:rPr>
        <w:t>ish Ministry of Education and Culture amended its funding model in a move towards qualitative</w:t>
      </w:r>
      <w:r w:rsidR="001F11D5">
        <w:rPr>
          <w:rFonts w:ascii="Calibri" w:hAnsi="Calibri" w:cs="Calibri"/>
          <w:color w:val="000000"/>
          <w:kern w:val="0"/>
        </w:rPr>
        <w:t xml:space="preserve"> </w:t>
      </w:r>
      <w:r>
        <w:rPr>
          <w:rFonts w:ascii="Calibri" w:hAnsi="Calibri" w:cs="Calibri"/>
          <w:kern w:val="0"/>
        </w:rPr>
        <w:t>criteria.</w:t>
      </w:r>
    </w:p>
    <w:p w14:paraId="2E1ED996" w14:textId="77777777" w:rsidR="00CC5219" w:rsidRDefault="00CC5219" w:rsidP="00C84401">
      <w:pPr>
        <w:autoSpaceDE w:val="0"/>
        <w:autoSpaceDN w:val="0"/>
        <w:adjustRightInd w:val="0"/>
        <w:spacing w:after="0" w:line="240" w:lineRule="auto"/>
        <w:ind w:left="720"/>
        <w:rPr>
          <w:rFonts w:ascii="Calibri" w:hAnsi="Calibri" w:cs="Calibri"/>
          <w:kern w:val="0"/>
        </w:rPr>
      </w:pPr>
    </w:p>
    <w:p w14:paraId="1E9A33CE" w14:textId="77777777" w:rsidR="00E97B4A" w:rsidRDefault="00E97B4A" w:rsidP="00C84401">
      <w:pPr>
        <w:autoSpaceDE w:val="0"/>
        <w:autoSpaceDN w:val="0"/>
        <w:adjustRightInd w:val="0"/>
        <w:spacing w:after="0" w:line="240" w:lineRule="auto"/>
        <w:ind w:left="720"/>
        <w:rPr>
          <w:rFonts w:ascii="Calibri-BoldItalic" w:hAnsi="Calibri-BoldItalic" w:cs="Calibri-BoldItalic"/>
          <w:b/>
          <w:bCs/>
          <w:i/>
          <w:iCs/>
          <w:kern w:val="0"/>
        </w:rPr>
      </w:pPr>
      <w:r>
        <w:rPr>
          <w:rFonts w:ascii="Calibri-BoldItalic" w:hAnsi="Calibri-BoldItalic" w:cs="Calibri-BoldItalic"/>
          <w:b/>
          <w:bCs/>
          <w:i/>
          <w:iCs/>
          <w:kern w:val="0"/>
        </w:rPr>
        <w:t>b. Norway</w:t>
      </w:r>
    </w:p>
    <w:p w14:paraId="377591C2" w14:textId="140A20CD" w:rsidR="00E97B4A" w:rsidRDefault="00E97B4A" w:rsidP="00C84401">
      <w:pPr>
        <w:autoSpaceDE w:val="0"/>
        <w:autoSpaceDN w:val="0"/>
        <w:adjustRightInd w:val="0"/>
        <w:spacing w:after="0" w:line="240" w:lineRule="auto"/>
        <w:ind w:left="720"/>
        <w:rPr>
          <w:rFonts w:ascii="Calibri" w:hAnsi="Calibri" w:cs="Calibri"/>
          <w:kern w:val="0"/>
        </w:rPr>
      </w:pPr>
      <w:r>
        <w:rPr>
          <w:rFonts w:ascii="Calibri" w:hAnsi="Calibri" w:cs="Calibri"/>
          <w:kern w:val="0"/>
        </w:rPr>
        <w:t>Universities Norway recently commissioned a working group to develop a national research</w:t>
      </w:r>
      <w:r w:rsidR="00CC5219">
        <w:rPr>
          <w:rFonts w:ascii="Calibri" w:hAnsi="Calibri" w:cs="Calibri"/>
          <w:kern w:val="0"/>
        </w:rPr>
        <w:t xml:space="preserve"> </w:t>
      </w:r>
      <w:r>
        <w:rPr>
          <w:rFonts w:ascii="Calibri" w:hAnsi="Calibri" w:cs="Calibri"/>
          <w:kern w:val="0"/>
        </w:rPr>
        <w:t>assessment framework; the working group tasked with this included representation from the</w:t>
      </w:r>
      <w:r w:rsidR="00CC5219">
        <w:rPr>
          <w:rFonts w:ascii="Calibri" w:hAnsi="Calibri" w:cs="Calibri"/>
          <w:kern w:val="0"/>
        </w:rPr>
        <w:t xml:space="preserve"> </w:t>
      </w:r>
      <w:r>
        <w:rPr>
          <w:rFonts w:ascii="Calibri" w:hAnsi="Calibri" w:cs="Calibri"/>
          <w:kern w:val="0"/>
        </w:rPr>
        <w:t>Research Council of Norway. The framework - NOR-CAM</w:t>
      </w:r>
      <w:r w:rsidR="00FB324B">
        <w:rPr>
          <w:rStyle w:val="FootnoteReference"/>
          <w:rFonts w:ascii="Calibri" w:hAnsi="Calibri" w:cs="Calibri"/>
          <w:kern w:val="0"/>
        </w:rPr>
        <w:footnoteReference w:id="15"/>
      </w:r>
      <w:r>
        <w:rPr>
          <w:rFonts w:ascii="Calibri" w:hAnsi="Calibri" w:cs="Calibri"/>
          <w:kern w:val="0"/>
        </w:rPr>
        <w:t xml:space="preserve"> - explicitly delineates the role of all four</w:t>
      </w:r>
      <w:r w:rsidR="00FB324B">
        <w:rPr>
          <w:rFonts w:ascii="Calibri" w:hAnsi="Calibri" w:cs="Calibri"/>
          <w:kern w:val="0"/>
        </w:rPr>
        <w:t xml:space="preserve"> </w:t>
      </w:r>
      <w:r>
        <w:rPr>
          <w:rFonts w:ascii="Calibri" w:hAnsi="Calibri" w:cs="Calibri"/>
          <w:kern w:val="0"/>
        </w:rPr>
        <w:t xml:space="preserve">major sets of relevant actors (government departments, funders, </w:t>
      </w:r>
      <w:proofErr w:type="gramStart"/>
      <w:r>
        <w:rPr>
          <w:rFonts w:ascii="Calibri" w:hAnsi="Calibri" w:cs="Calibri"/>
          <w:kern w:val="0"/>
        </w:rPr>
        <w:t>institutions</w:t>
      </w:r>
      <w:proofErr w:type="gramEnd"/>
      <w:r>
        <w:rPr>
          <w:rFonts w:ascii="Calibri" w:hAnsi="Calibri" w:cs="Calibri"/>
          <w:kern w:val="0"/>
        </w:rPr>
        <w:t xml:space="preserve"> and researchers).</w:t>
      </w:r>
    </w:p>
    <w:p w14:paraId="6B9EA01F" w14:textId="77777777" w:rsidR="00FB324B" w:rsidRDefault="00FB324B" w:rsidP="00C84401">
      <w:pPr>
        <w:autoSpaceDE w:val="0"/>
        <w:autoSpaceDN w:val="0"/>
        <w:adjustRightInd w:val="0"/>
        <w:spacing w:after="0" w:line="240" w:lineRule="auto"/>
        <w:ind w:left="720"/>
        <w:rPr>
          <w:rFonts w:ascii="Calibri" w:hAnsi="Calibri" w:cs="Calibri"/>
          <w:kern w:val="0"/>
        </w:rPr>
      </w:pPr>
    </w:p>
    <w:p w14:paraId="3465986B" w14:textId="77777777" w:rsidR="00E97B4A" w:rsidRDefault="00E97B4A" w:rsidP="00C84401">
      <w:pPr>
        <w:autoSpaceDE w:val="0"/>
        <w:autoSpaceDN w:val="0"/>
        <w:adjustRightInd w:val="0"/>
        <w:spacing w:after="0" w:line="240" w:lineRule="auto"/>
        <w:ind w:left="720"/>
        <w:rPr>
          <w:rFonts w:ascii="Calibri-BoldItalic" w:hAnsi="Calibri-BoldItalic" w:cs="Calibri-BoldItalic"/>
          <w:b/>
          <w:bCs/>
          <w:i/>
          <w:iCs/>
          <w:kern w:val="0"/>
        </w:rPr>
      </w:pPr>
      <w:r>
        <w:rPr>
          <w:rFonts w:ascii="Calibri-BoldItalic" w:hAnsi="Calibri-BoldItalic" w:cs="Calibri-BoldItalic"/>
          <w:b/>
          <w:bCs/>
          <w:i/>
          <w:iCs/>
          <w:kern w:val="0"/>
        </w:rPr>
        <w:t>c. Netherlands</w:t>
      </w:r>
    </w:p>
    <w:p w14:paraId="65FA8F27" w14:textId="6E7EA0B2" w:rsidR="00482DC4" w:rsidRDefault="00E97B4A" w:rsidP="00C84401">
      <w:pPr>
        <w:autoSpaceDE w:val="0"/>
        <w:autoSpaceDN w:val="0"/>
        <w:adjustRightInd w:val="0"/>
        <w:spacing w:after="0" w:line="240" w:lineRule="auto"/>
        <w:ind w:left="720"/>
        <w:rPr>
          <w:rFonts w:ascii="Calibri" w:hAnsi="Calibri" w:cs="Calibri"/>
          <w:kern w:val="0"/>
        </w:rPr>
      </w:pPr>
      <w:r>
        <w:rPr>
          <w:rFonts w:ascii="Calibri" w:hAnsi="Calibri" w:cs="Calibri"/>
          <w:kern w:val="0"/>
        </w:rPr>
        <w:t>In terms of system-level incentivisation of open research practices, the Dutch framework</w:t>
      </w:r>
      <w:r w:rsidR="004B06EC">
        <w:rPr>
          <w:rStyle w:val="FootnoteReference"/>
          <w:rFonts w:ascii="Calibri" w:hAnsi="Calibri" w:cs="Calibri"/>
          <w:kern w:val="0"/>
        </w:rPr>
        <w:footnoteReference w:id="16"/>
      </w:r>
      <w:r>
        <w:rPr>
          <w:rFonts w:ascii="Calibri" w:hAnsi="Calibri" w:cs="Calibri"/>
          <w:kern w:val="0"/>
          <w:sz w:val="13"/>
          <w:szCs w:val="13"/>
        </w:rPr>
        <w:t xml:space="preserve"> </w:t>
      </w:r>
      <w:r>
        <w:rPr>
          <w:rFonts w:ascii="Calibri" w:hAnsi="Calibri" w:cs="Calibri"/>
          <w:kern w:val="0"/>
        </w:rPr>
        <w:t>is widely</w:t>
      </w:r>
      <w:r w:rsidR="00925DA3">
        <w:rPr>
          <w:rFonts w:ascii="Calibri" w:hAnsi="Calibri" w:cs="Calibri"/>
          <w:kern w:val="0"/>
        </w:rPr>
        <w:t xml:space="preserve"> </w:t>
      </w:r>
      <w:r>
        <w:rPr>
          <w:rFonts w:ascii="Calibri" w:hAnsi="Calibri" w:cs="Calibri"/>
          <w:kern w:val="0"/>
        </w:rPr>
        <w:t xml:space="preserve">acknowledged to be sector-leading. The well-known position paper </w:t>
      </w:r>
      <w:r>
        <w:rPr>
          <w:rFonts w:ascii="Calibri-Italic" w:hAnsi="Calibri-Italic" w:cs="Calibri-Italic"/>
          <w:i/>
          <w:iCs/>
          <w:kern w:val="0"/>
        </w:rPr>
        <w:t>Room for everyone’s talent</w:t>
      </w:r>
      <w:r w:rsidR="00B428EC">
        <w:rPr>
          <w:rFonts w:ascii="Calibri" w:hAnsi="Calibri" w:cs="Calibri"/>
          <w:kern w:val="0"/>
        </w:rPr>
        <w:t xml:space="preserve"> </w:t>
      </w:r>
      <w:r>
        <w:rPr>
          <w:rFonts w:ascii="Calibri-Italic" w:hAnsi="Calibri-Italic" w:cs="Calibri-Italic"/>
          <w:i/>
          <w:iCs/>
          <w:kern w:val="0"/>
        </w:rPr>
        <w:t>towards a new balance in the recognition and rewards of academics</w:t>
      </w:r>
      <w:r>
        <w:rPr>
          <w:rFonts w:ascii="Calibri-Italic" w:hAnsi="Calibri-Italic" w:cs="Calibri-Italic"/>
          <w:i/>
          <w:iCs/>
          <w:kern w:val="0"/>
          <w:sz w:val="13"/>
          <w:szCs w:val="13"/>
        </w:rPr>
        <w:t xml:space="preserve">8 </w:t>
      </w:r>
      <w:r>
        <w:rPr>
          <w:rFonts w:ascii="Calibri" w:hAnsi="Calibri" w:cs="Calibri"/>
          <w:kern w:val="0"/>
        </w:rPr>
        <w:lastRenderedPageBreak/>
        <w:t>recognised the criticality of a</w:t>
      </w:r>
      <w:r w:rsidR="00B428EC">
        <w:rPr>
          <w:rFonts w:ascii="Calibri" w:hAnsi="Calibri" w:cs="Calibri"/>
          <w:kern w:val="0"/>
        </w:rPr>
        <w:t xml:space="preserve"> </w:t>
      </w:r>
      <w:r>
        <w:rPr>
          <w:rFonts w:ascii="Calibri" w:hAnsi="Calibri" w:cs="Calibri"/>
          <w:kern w:val="0"/>
        </w:rPr>
        <w:t>system-level approach – the authors write that ‘modernising the system of recognition and rewards</w:t>
      </w:r>
      <w:r w:rsidR="00B428EC">
        <w:rPr>
          <w:rFonts w:ascii="Calibri" w:hAnsi="Calibri" w:cs="Calibri"/>
          <w:kern w:val="0"/>
        </w:rPr>
        <w:t xml:space="preserve"> </w:t>
      </w:r>
      <w:r>
        <w:rPr>
          <w:rFonts w:ascii="Calibri" w:hAnsi="Calibri" w:cs="Calibri"/>
          <w:kern w:val="0"/>
        </w:rPr>
        <w:t>requires ... a national and international coordination between all parties involved’ (VSNU et al., 2019,</w:t>
      </w:r>
      <w:r w:rsidR="00B428EC">
        <w:rPr>
          <w:rFonts w:ascii="Calibri" w:hAnsi="Calibri" w:cs="Calibri"/>
          <w:kern w:val="0"/>
        </w:rPr>
        <w:t xml:space="preserve"> </w:t>
      </w:r>
      <w:r>
        <w:rPr>
          <w:rFonts w:ascii="Calibri" w:hAnsi="Calibri" w:cs="Calibri"/>
          <w:kern w:val="0"/>
        </w:rPr>
        <w:t>p. 3). Changes to the Dutch system were driven by a group of</w:t>
      </w:r>
      <w:r w:rsidR="00B428EC">
        <w:rPr>
          <w:rFonts w:ascii="Calibri" w:hAnsi="Calibri" w:cs="Calibri"/>
          <w:kern w:val="0"/>
        </w:rPr>
        <w:t xml:space="preserve"> institutions and funders with the national research evaluation exercise was also a key factor.</w:t>
      </w:r>
    </w:p>
    <w:p w14:paraId="750527EF" w14:textId="77777777" w:rsidR="00B428EC" w:rsidRPr="00B428EC" w:rsidRDefault="00B428EC" w:rsidP="00C84401">
      <w:pPr>
        <w:autoSpaceDE w:val="0"/>
        <w:autoSpaceDN w:val="0"/>
        <w:adjustRightInd w:val="0"/>
        <w:spacing w:after="0" w:line="240" w:lineRule="auto"/>
        <w:ind w:left="720"/>
        <w:rPr>
          <w:rFonts w:ascii="Calibri" w:hAnsi="Calibri" w:cs="Calibri"/>
          <w:kern w:val="0"/>
        </w:rPr>
      </w:pPr>
    </w:p>
    <w:p w14:paraId="78B58046" w14:textId="77777777" w:rsidR="00E26C2D" w:rsidRDefault="00E26C2D" w:rsidP="00C84401">
      <w:pPr>
        <w:autoSpaceDE w:val="0"/>
        <w:autoSpaceDN w:val="0"/>
        <w:adjustRightInd w:val="0"/>
        <w:spacing w:after="0" w:line="240" w:lineRule="auto"/>
        <w:ind w:left="720"/>
        <w:rPr>
          <w:rFonts w:ascii="Calibri-BoldItalic" w:hAnsi="Calibri-BoldItalic" w:cs="Calibri-BoldItalic"/>
          <w:b/>
          <w:bCs/>
          <w:i/>
          <w:iCs/>
          <w:kern w:val="0"/>
        </w:rPr>
      </w:pPr>
      <w:r>
        <w:rPr>
          <w:rFonts w:ascii="Calibri-BoldItalic" w:hAnsi="Calibri-BoldItalic" w:cs="Calibri-BoldItalic"/>
          <w:b/>
          <w:bCs/>
          <w:i/>
          <w:iCs/>
          <w:kern w:val="0"/>
        </w:rPr>
        <w:t>d. France</w:t>
      </w:r>
    </w:p>
    <w:p w14:paraId="0008A0A4" w14:textId="3CE40E6C" w:rsidR="00E26C2D" w:rsidRDefault="00E26C2D" w:rsidP="00C84401">
      <w:pPr>
        <w:autoSpaceDE w:val="0"/>
        <w:autoSpaceDN w:val="0"/>
        <w:adjustRightInd w:val="0"/>
        <w:spacing w:after="0" w:line="240" w:lineRule="auto"/>
        <w:ind w:left="720"/>
        <w:rPr>
          <w:rFonts w:ascii="Calibri" w:hAnsi="Calibri" w:cs="Calibri"/>
          <w:kern w:val="0"/>
        </w:rPr>
      </w:pPr>
      <w:r>
        <w:rPr>
          <w:rFonts w:ascii="Calibri" w:hAnsi="Calibri" w:cs="Calibri"/>
          <w:kern w:val="0"/>
        </w:rPr>
        <w:t xml:space="preserve">The </w:t>
      </w:r>
      <w:r w:rsidR="00C84401">
        <w:rPr>
          <w:rFonts w:ascii="Calibri" w:hAnsi="Calibri" w:cs="Calibri"/>
          <w:kern w:val="0"/>
        </w:rPr>
        <w:t>recently updated</w:t>
      </w:r>
      <w:r>
        <w:rPr>
          <w:rFonts w:ascii="Calibri" w:hAnsi="Calibri" w:cs="Calibri"/>
          <w:kern w:val="0"/>
        </w:rPr>
        <w:t xml:space="preserve"> French National Plan for Open Science</w:t>
      </w:r>
      <w:r w:rsidR="001B5934">
        <w:rPr>
          <w:rStyle w:val="FootnoteReference"/>
          <w:rFonts w:ascii="Calibri" w:hAnsi="Calibri" w:cs="Calibri"/>
          <w:kern w:val="0"/>
        </w:rPr>
        <w:footnoteReference w:id="17"/>
      </w:r>
      <w:r>
        <w:rPr>
          <w:rFonts w:ascii="Calibri" w:hAnsi="Calibri" w:cs="Calibri"/>
          <w:kern w:val="0"/>
          <w:sz w:val="13"/>
          <w:szCs w:val="13"/>
        </w:rPr>
        <w:t xml:space="preserve"> </w:t>
      </w:r>
      <w:r>
        <w:rPr>
          <w:rFonts w:ascii="Calibri" w:hAnsi="Calibri" w:cs="Calibri"/>
          <w:kern w:val="0"/>
        </w:rPr>
        <w:t>- published by the relevant</w:t>
      </w:r>
      <w:r w:rsidR="00B428EC">
        <w:rPr>
          <w:rFonts w:ascii="Calibri" w:hAnsi="Calibri" w:cs="Calibri"/>
          <w:kern w:val="0"/>
        </w:rPr>
        <w:t xml:space="preserve"> </w:t>
      </w:r>
      <w:r>
        <w:rPr>
          <w:rFonts w:ascii="Calibri" w:hAnsi="Calibri" w:cs="Calibri"/>
          <w:kern w:val="0"/>
        </w:rPr>
        <w:t>government</w:t>
      </w:r>
      <w:r w:rsidR="001B5934">
        <w:rPr>
          <w:rFonts w:ascii="Calibri" w:hAnsi="Calibri" w:cs="Calibri"/>
          <w:kern w:val="0"/>
        </w:rPr>
        <w:t xml:space="preserve"> </w:t>
      </w:r>
      <w:r>
        <w:rPr>
          <w:rFonts w:ascii="Calibri" w:hAnsi="Calibri" w:cs="Calibri"/>
          <w:kern w:val="0"/>
        </w:rPr>
        <w:t>Ministry - contains numerous references to incentives and rewards. It refers specifically, for example,</w:t>
      </w:r>
      <w:r w:rsidR="001B5934">
        <w:rPr>
          <w:rFonts w:ascii="Calibri" w:hAnsi="Calibri" w:cs="Calibri"/>
          <w:kern w:val="0"/>
        </w:rPr>
        <w:t xml:space="preserve"> </w:t>
      </w:r>
      <w:r>
        <w:rPr>
          <w:rFonts w:ascii="Calibri" w:hAnsi="Calibri" w:cs="Calibri"/>
          <w:kern w:val="0"/>
        </w:rPr>
        <w:t>to the utilisation of responsible research metrics within funding call documents, to open research</w:t>
      </w:r>
      <w:r w:rsidR="001B5934">
        <w:rPr>
          <w:rFonts w:ascii="Calibri" w:hAnsi="Calibri" w:cs="Calibri"/>
          <w:kern w:val="0"/>
        </w:rPr>
        <w:t xml:space="preserve"> </w:t>
      </w:r>
      <w:r>
        <w:rPr>
          <w:rFonts w:ascii="Calibri" w:hAnsi="Calibri" w:cs="Calibri"/>
          <w:kern w:val="0"/>
        </w:rPr>
        <w:t>principles and practices within the national research evaluation body (</w:t>
      </w:r>
      <w:proofErr w:type="spellStart"/>
      <w:r>
        <w:rPr>
          <w:rFonts w:ascii="Calibri" w:hAnsi="Calibri" w:cs="Calibri"/>
          <w:kern w:val="0"/>
        </w:rPr>
        <w:t>Hcéres</w:t>
      </w:r>
      <w:proofErr w:type="spellEnd"/>
      <w:r>
        <w:rPr>
          <w:rFonts w:ascii="Calibri" w:hAnsi="Calibri" w:cs="Calibri"/>
          <w:kern w:val="0"/>
        </w:rPr>
        <w:t>), the inclusion of Open</w:t>
      </w:r>
      <w:r w:rsidR="002D2E2A">
        <w:rPr>
          <w:rFonts w:ascii="Calibri" w:hAnsi="Calibri" w:cs="Calibri"/>
          <w:kern w:val="0"/>
        </w:rPr>
        <w:t xml:space="preserve"> </w:t>
      </w:r>
      <w:r>
        <w:rPr>
          <w:rFonts w:ascii="Calibri" w:hAnsi="Calibri" w:cs="Calibri"/>
          <w:kern w:val="0"/>
        </w:rPr>
        <w:t>Research competencies in the relevant national competency framework, and to the promotion of</w:t>
      </w:r>
      <w:r w:rsidR="002D2E2A">
        <w:rPr>
          <w:rFonts w:ascii="Calibri" w:hAnsi="Calibri" w:cs="Calibri"/>
          <w:kern w:val="0"/>
        </w:rPr>
        <w:t xml:space="preserve"> </w:t>
      </w:r>
      <w:r>
        <w:rPr>
          <w:rFonts w:ascii="Calibri" w:hAnsi="Calibri" w:cs="Calibri"/>
          <w:kern w:val="0"/>
        </w:rPr>
        <w:t>‘the use of narrative CVs to reduce the importance of quantitative assessments to the benefit of</w:t>
      </w:r>
      <w:r w:rsidR="002D2E2A">
        <w:rPr>
          <w:rFonts w:ascii="Calibri" w:hAnsi="Calibri" w:cs="Calibri"/>
          <w:kern w:val="0"/>
        </w:rPr>
        <w:t xml:space="preserve"> </w:t>
      </w:r>
      <w:r>
        <w:rPr>
          <w:rFonts w:ascii="Calibri" w:hAnsi="Calibri" w:cs="Calibri"/>
          <w:kern w:val="0"/>
        </w:rPr>
        <w:t xml:space="preserve">qualitative </w:t>
      </w:r>
      <w:proofErr w:type="gramStart"/>
      <w:r>
        <w:rPr>
          <w:rFonts w:ascii="Calibri" w:hAnsi="Calibri" w:cs="Calibri"/>
          <w:kern w:val="0"/>
        </w:rPr>
        <w:t>ones’</w:t>
      </w:r>
      <w:proofErr w:type="gramEnd"/>
      <w:r>
        <w:rPr>
          <w:rFonts w:ascii="Calibri" w:hAnsi="Calibri" w:cs="Calibri"/>
          <w:kern w:val="0"/>
        </w:rPr>
        <w:t>. This national plan, therefore, recognises that all actors must work together in the</w:t>
      </w:r>
      <w:r w:rsidR="002D2E2A">
        <w:rPr>
          <w:rFonts w:ascii="Calibri" w:hAnsi="Calibri" w:cs="Calibri"/>
          <w:kern w:val="0"/>
        </w:rPr>
        <w:t xml:space="preserve"> </w:t>
      </w:r>
      <w:r>
        <w:rPr>
          <w:rFonts w:ascii="Calibri" w:hAnsi="Calibri" w:cs="Calibri"/>
          <w:kern w:val="0"/>
        </w:rPr>
        <w:t xml:space="preserve">areas of incentives and rewards </w:t>
      </w:r>
      <w:proofErr w:type="gramStart"/>
      <w:r>
        <w:rPr>
          <w:rFonts w:ascii="Calibri" w:hAnsi="Calibri" w:cs="Calibri"/>
          <w:kern w:val="0"/>
        </w:rPr>
        <w:t>in order to</w:t>
      </w:r>
      <w:proofErr w:type="gramEnd"/>
      <w:r>
        <w:rPr>
          <w:rFonts w:ascii="Calibri" w:hAnsi="Calibri" w:cs="Calibri"/>
          <w:kern w:val="0"/>
        </w:rPr>
        <w:t xml:space="preserve"> ensure the best chance of success.</w:t>
      </w:r>
    </w:p>
    <w:p w14:paraId="2814AB0A" w14:textId="77777777" w:rsidR="002D2E2A" w:rsidRDefault="002D2E2A" w:rsidP="00C84401">
      <w:pPr>
        <w:autoSpaceDE w:val="0"/>
        <w:autoSpaceDN w:val="0"/>
        <w:adjustRightInd w:val="0"/>
        <w:spacing w:after="0" w:line="240" w:lineRule="auto"/>
        <w:ind w:left="720"/>
        <w:rPr>
          <w:rFonts w:ascii="Calibri" w:hAnsi="Calibri" w:cs="Calibri"/>
          <w:kern w:val="0"/>
        </w:rPr>
      </w:pPr>
    </w:p>
    <w:p w14:paraId="66075B83" w14:textId="77777777" w:rsidR="00E26C2D" w:rsidRDefault="00E26C2D" w:rsidP="00C84401">
      <w:pPr>
        <w:autoSpaceDE w:val="0"/>
        <w:autoSpaceDN w:val="0"/>
        <w:adjustRightInd w:val="0"/>
        <w:spacing w:after="0" w:line="240" w:lineRule="auto"/>
        <w:ind w:left="720"/>
        <w:rPr>
          <w:rFonts w:ascii="Calibri-BoldItalic" w:hAnsi="Calibri-BoldItalic" w:cs="Calibri-BoldItalic"/>
          <w:b/>
          <w:bCs/>
          <w:i/>
          <w:iCs/>
          <w:kern w:val="0"/>
        </w:rPr>
      </w:pPr>
      <w:r>
        <w:rPr>
          <w:rFonts w:ascii="Calibri-BoldItalic" w:hAnsi="Calibri-BoldItalic" w:cs="Calibri-BoldItalic"/>
          <w:b/>
          <w:bCs/>
          <w:i/>
          <w:iCs/>
          <w:kern w:val="0"/>
        </w:rPr>
        <w:t>e. UK</w:t>
      </w:r>
    </w:p>
    <w:p w14:paraId="36A61DCB" w14:textId="41078972" w:rsidR="00D1779C" w:rsidRDefault="00E26C2D" w:rsidP="004C3A0D">
      <w:pPr>
        <w:autoSpaceDE w:val="0"/>
        <w:autoSpaceDN w:val="0"/>
        <w:adjustRightInd w:val="0"/>
        <w:spacing w:after="0" w:line="240" w:lineRule="auto"/>
        <w:ind w:left="720"/>
        <w:rPr>
          <w:rFonts w:ascii="Calibri" w:hAnsi="Calibri" w:cs="Calibri"/>
        </w:rPr>
      </w:pPr>
      <w:r>
        <w:rPr>
          <w:rFonts w:ascii="Calibri" w:hAnsi="Calibri" w:cs="Calibri"/>
          <w:kern w:val="0"/>
        </w:rPr>
        <w:t>While the UK has not rolled out a national programme of researcher evaluation akin to those</w:t>
      </w:r>
      <w:r w:rsidR="002D2E2A">
        <w:rPr>
          <w:rFonts w:ascii="Calibri" w:hAnsi="Calibri" w:cs="Calibri"/>
          <w:kern w:val="0"/>
        </w:rPr>
        <w:t xml:space="preserve"> </w:t>
      </w:r>
      <w:r>
        <w:rPr>
          <w:rFonts w:ascii="Calibri" w:hAnsi="Calibri" w:cs="Calibri"/>
          <w:kern w:val="0"/>
        </w:rPr>
        <w:t>described above for the Nordics in particular, there is acknowledgement that system-level</w:t>
      </w:r>
      <w:r w:rsidR="002D2E2A">
        <w:rPr>
          <w:rFonts w:ascii="Calibri" w:hAnsi="Calibri" w:cs="Calibri"/>
          <w:kern w:val="0"/>
        </w:rPr>
        <w:t xml:space="preserve"> </w:t>
      </w:r>
      <w:r>
        <w:rPr>
          <w:rFonts w:ascii="Calibri" w:hAnsi="Calibri" w:cs="Calibri"/>
          <w:kern w:val="0"/>
        </w:rPr>
        <w:t>approaches to incentivising Open Research are desirable. The main area of relevance remains that of</w:t>
      </w:r>
      <w:r w:rsidR="002D2E2A">
        <w:rPr>
          <w:rFonts w:ascii="Calibri" w:hAnsi="Calibri" w:cs="Calibri"/>
          <w:kern w:val="0"/>
        </w:rPr>
        <w:t xml:space="preserve"> </w:t>
      </w:r>
      <w:r>
        <w:rPr>
          <w:rFonts w:ascii="Calibri" w:hAnsi="Calibri" w:cs="Calibri"/>
          <w:kern w:val="0"/>
        </w:rPr>
        <w:t>‘research impact’ which is an important component of both funding applications to national funding</w:t>
      </w:r>
      <w:r w:rsidR="002D2E2A">
        <w:rPr>
          <w:rFonts w:ascii="Calibri" w:hAnsi="Calibri" w:cs="Calibri"/>
          <w:kern w:val="0"/>
        </w:rPr>
        <w:t xml:space="preserve"> </w:t>
      </w:r>
      <w:r>
        <w:rPr>
          <w:rFonts w:ascii="Calibri" w:hAnsi="Calibri" w:cs="Calibri"/>
          <w:kern w:val="0"/>
        </w:rPr>
        <w:t xml:space="preserve">councils (notwithstanding the recent removal of dedicated ‘Pathways to Impact’ sections) </w:t>
      </w:r>
      <w:proofErr w:type="gramStart"/>
      <w:r>
        <w:rPr>
          <w:rFonts w:ascii="Calibri" w:hAnsi="Calibri" w:cs="Calibri"/>
          <w:kern w:val="0"/>
        </w:rPr>
        <w:t>and also</w:t>
      </w:r>
      <w:proofErr w:type="gramEnd"/>
      <w:r>
        <w:rPr>
          <w:rFonts w:ascii="Calibri" w:hAnsi="Calibri" w:cs="Calibri"/>
          <w:kern w:val="0"/>
        </w:rPr>
        <w:t xml:space="preserve"> of</w:t>
      </w:r>
      <w:r w:rsidR="002D2E2A">
        <w:rPr>
          <w:rFonts w:ascii="Calibri" w:hAnsi="Calibri" w:cs="Calibri"/>
          <w:kern w:val="0"/>
        </w:rPr>
        <w:t xml:space="preserve"> </w:t>
      </w:r>
      <w:r>
        <w:rPr>
          <w:rFonts w:ascii="Calibri" w:hAnsi="Calibri" w:cs="Calibri"/>
          <w:kern w:val="0"/>
        </w:rPr>
        <w:t>national research assessment (the REF) – these have significantly incentivised UK institutions to</w:t>
      </w:r>
      <w:r w:rsidR="002D2E2A">
        <w:rPr>
          <w:rFonts w:ascii="Calibri" w:hAnsi="Calibri" w:cs="Calibri"/>
          <w:kern w:val="0"/>
        </w:rPr>
        <w:t xml:space="preserve"> </w:t>
      </w:r>
      <w:r>
        <w:rPr>
          <w:rFonts w:ascii="Calibri" w:hAnsi="Calibri" w:cs="Calibri"/>
          <w:kern w:val="0"/>
        </w:rPr>
        <w:t>prioritise recruitment and retention of researchers who excel in these areas. In addition, UKRI is</w:t>
      </w:r>
      <w:r w:rsidR="002D2E2A">
        <w:rPr>
          <w:rFonts w:ascii="Calibri" w:hAnsi="Calibri" w:cs="Calibri"/>
          <w:kern w:val="0"/>
        </w:rPr>
        <w:t xml:space="preserve"> </w:t>
      </w:r>
      <w:r w:rsidR="00482DC4" w:rsidRPr="00482DC4">
        <w:rPr>
          <w:rFonts w:ascii="Calibri" w:hAnsi="Calibri" w:cs="Calibri"/>
        </w:rPr>
        <w:t>exploring a ‘shared approach across the sector’ to the use of narrative CVs</w:t>
      </w:r>
      <w:r w:rsidR="008A1825">
        <w:rPr>
          <w:rStyle w:val="FootnoteReference"/>
          <w:rFonts w:ascii="Calibri" w:hAnsi="Calibri" w:cs="Calibri"/>
        </w:rPr>
        <w:footnoteReference w:id="18"/>
      </w:r>
      <w:r w:rsidR="00482DC4" w:rsidRPr="00482DC4">
        <w:rPr>
          <w:rFonts w:ascii="Calibri" w:hAnsi="Calibri" w:cs="Calibri"/>
        </w:rPr>
        <w:t xml:space="preserve"> (</w:t>
      </w:r>
      <w:proofErr w:type="gramStart"/>
      <w:r w:rsidR="00482DC4" w:rsidRPr="00482DC4">
        <w:rPr>
          <w:rFonts w:ascii="Calibri" w:hAnsi="Calibri" w:cs="Calibri"/>
        </w:rPr>
        <w:t>and also</w:t>
      </w:r>
      <w:proofErr w:type="gramEnd"/>
      <w:r w:rsidR="00482DC4" w:rsidRPr="00482DC4">
        <w:rPr>
          <w:rFonts w:ascii="Calibri" w:hAnsi="Calibri" w:cs="Calibri"/>
        </w:rPr>
        <w:t xml:space="preserve"> to</w:t>
      </w:r>
      <w:r w:rsidR="004C3A0D">
        <w:rPr>
          <w:rFonts w:ascii="Calibri" w:hAnsi="Calibri" w:cs="Calibri"/>
          <w:kern w:val="0"/>
        </w:rPr>
        <w:t xml:space="preserve"> </w:t>
      </w:r>
      <w:r w:rsidR="00482DC4" w:rsidRPr="00482DC4">
        <w:rPr>
          <w:rFonts w:ascii="Calibri" w:hAnsi="Calibri" w:cs="Calibri"/>
        </w:rPr>
        <w:t>‘</w:t>
      </w:r>
      <w:proofErr w:type="spellStart"/>
      <w:r w:rsidR="00482DC4" w:rsidRPr="00482DC4">
        <w:rPr>
          <w:rFonts w:ascii="Calibri" w:hAnsi="Calibri" w:cs="Calibri"/>
        </w:rPr>
        <w:t>modernis</w:t>
      </w:r>
      <w:proofErr w:type="spellEnd"/>
      <w:r w:rsidR="00482DC4" w:rsidRPr="00482DC4">
        <w:rPr>
          <w:rFonts w:ascii="Calibri" w:hAnsi="Calibri" w:cs="Calibri"/>
        </w:rPr>
        <w:t>[</w:t>
      </w:r>
      <w:proofErr w:type="spellStart"/>
      <w:r w:rsidR="00482DC4" w:rsidRPr="00482DC4">
        <w:rPr>
          <w:rFonts w:ascii="Calibri" w:hAnsi="Calibri" w:cs="Calibri"/>
        </w:rPr>
        <w:t>ing</w:t>
      </w:r>
      <w:proofErr w:type="spellEnd"/>
      <w:r w:rsidR="00482DC4" w:rsidRPr="00482DC4">
        <w:rPr>
          <w:rFonts w:ascii="Calibri" w:hAnsi="Calibri" w:cs="Calibri"/>
        </w:rPr>
        <w:t>] our research evaluation policy to reward openness and diversity in research’</w:t>
      </w:r>
      <w:r w:rsidR="0084492A">
        <w:rPr>
          <w:rStyle w:val="FootnoteReference"/>
          <w:rFonts w:ascii="Calibri" w:hAnsi="Calibri" w:cs="Calibri"/>
        </w:rPr>
        <w:footnoteReference w:id="19"/>
      </w:r>
      <w:r w:rsidR="00482DC4" w:rsidRPr="00482DC4">
        <w:rPr>
          <w:rFonts w:ascii="Calibri" w:hAnsi="Calibri" w:cs="Calibri"/>
        </w:rPr>
        <w:t xml:space="preserve"> </w:t>
      </w:r>
      <w:r w:rsidR="0084492A">
        <w:rPr>
          <w:rFonts w:ascii="Calibri" w:hAnsi="Calibri" w:cs="Calibri"/>
        </w:rPr>
        <w:t>–</w:t>
      </w:r>
      <w:r w:rsidR="00482DC4" w:rsidRPr="00482DC4">
        <w:rPr>
          <w:rFonts w:ascii="Calibri" w:hAnsi="Calibri" w:cs="Calibri"/>
        </w:rPr>
        <w:t xml:space="preserve"> but</w:t>
      </w:r>
      <w:r w:rsidR="0084492A">
        <w:rPr>
          <w:rFonts w:ascii="Calibri" w:hAnsi="Calibri" w:cs="Calibri"/>
        </w:rPr>
        <w:t xml:space="preserve"> </w:t>
      </w:r>
      <w:r w:rsidR="00482DC4" w:rsidRPr="00482DC4">
        <w:rPr>
          <w:rFonts w:ascii="Calibri" w:hAnsi="Calibri" w:cs="Calibri"/>
        </w:rPr>
        <w:t>this does not explicitly mention a system-level approach). Overall, while the UK does not yet have a</w:t>
      </w:r>
      <w:r w:rsidR="0084492A">
        <w:rPr>
          <w:rFonts w:ascii="Calibri" w:hAnsi="Calibri" w:cs="Calibri"/>
        </w:rPr>
        <w:t xml:space="preserve"> </w:t>
      </w:r>
      <w:r w:rsidR="00482DC4" w:rsidRPr="00482DC4">
        <w:rPr>
          <w:rFonts w:ascii="Calibri" w:hAnsi="Calibri" w:cs="Calibri"/>
        </w:rPr>
        <w:t>strong system-level framework to incentivise open research, there is a clear recognition of its</w:t>
      </w:r>
      <w:r w:rsidR="0084492A">
        <w:rPr>
          <w:rFonts w:ascii="Calibri" w:hAnsi="Calibri" w:cs="Calibri"/>
        </w:rPr>
        <w:t xml:space="preserve"> </w:t>
      </w:r>
      <w:r w:rsidR="00482DC4" w:rsidRPr="00482DC4">
        <w:rPr>
          <w:rFonts w:ascii="Calibri" w:hAnsi="Calibri" w:cs="Calibri"/>
        </w:rPr>
        <w:t>desirability across at least some areas of this agenda.</w:t>
      </w:r>
    </w:p>
    <w:p w14:paraId="3A74CAD3" w14:textId="77777777" w:rsidR="004C3A0D" w:rsidRPr="004C3A0D" w:rsidRDefault="004C3A0D" w:rsidP="004C3A0D">
      <w:pPr>
        <w:autoSpaceDE w:val="0"/>
        <w:autoSpaceDN w:val="0"/>
        <w:adjustRightInd w:val="0"/>
        <w:spacing w:after="0" w:line="240" w:lineRule="auto"/>
        <w:ind w:left="720"/>
        <w:rPr>
          <w:rFonts w:ascii="Calibri" w:hAnsi="Calibri" w:cs="Calibri"/>
          <w:kern w:val="0"/>
        </w:rPr>
      </w:pPr>
    </w:p>
    <w:p w14:paraId="127D129F" w14:textId="77777777" w:rsidR="00482DC4" w:rsidRPr="00914C49" w:rsidRDefault="00482DC4" w:rsidP="00C84401">
      <w:pPr>
        <w:ind w:left="720"/>
        <w:rPr>
          <w:rFonts w:ascii="Calibri" w:hAnsi="Calibri" w:cs="Calibri"/>
          <w:b/>
          <w:bCs/>
          <w:i/>
          <w:iCs/>
        </w:rPr>
      </w:pPr>
      <w:r w:rsidRPr="00914C49">
        <w:rPr>
          <w:rFonts w:ascii="Calibri" w:hAnsi="Calibri" w:cs="Calibri"/>
          <w:b/>
          <w:bCs/>
          <w:i/>
          <w:iCs/>
        </w:rPr>
        <w:t>f. America</w:t>
      </w:r>
    </w:p>
    <w:p w14:paraId="785FAF10" w14:textId="0305F757" w:rsidR="00482DC4" w:rsidRPr="00BD4451" w:rsidRDefault="00482DC4" w:rsidP="00C84401">
      <w:pPr>
        <w:ind w:left="720"/>
        <w:rPr>
          <w:rFonts w:ascii="Calibri" w:hAnsi="Calibri" w:cs="Calibri"/>
        </w:rPr>
      </w:pPr>
      <w:r w:rsidRPr="00482DC4">
        <w:rPr>
          <w:rFonts w:ascii="Calibri" w:hAnsi="Calibri" w:cs="Calibri"/>
        </w:rPr>
        <w:t xml:space="preserve">System-level approaches to incentivisation in America seem, </w:t>
      </w:r>
      <w:proofErr w:type="gramStart"/>
      <w:r w:rsidRPr="00482DC4">
        <w:rPr>
          <w:rFonts w:ascii="Calibri" w:hAnsi="Calibri" w:cs="Calibri"/>
        </w:rPr>
        <w:t>at the moment</w:t>
      </w:r>
      <w:proofErr w:type="gramEnd"/>
      <w:r w:rsidRPr="00482DC4">
        <w:rPr>
          <w:rFonts w:ascii="Calibri" w:hAnsi="Calibri" w:cs="Calibri"/>
        </w:rPr>
        <w:t>, to be limited. While</w:t>
      </w:r>
      <w:r w:rsidR="00D1779C">
        <w:rPr>
          <w:rFonts w:ascii="Calibri" w:hAnsi="Calibri" w:cs="Calibri"/>
        </w:rPr>
        <w:t xml:space="preserve"> </w:t>
      </w:r>
      <w:r w:rsidRPr="00482DC4">
        <w:rPr>
          <w:rFonts w:ascii="Calibri" w:hAnsi="Calibri" w:cs="Calibri"/>
        </w:rPr>
        <w:t xml:space="preserve">many funders are mandating Open Research in various guises, it is not yet </w:t>
      </w:r>
      <w:proofErr w:type="gramStart"/>
      <w:r w:rsidRPr="00482DC4">
        <w:rPr>
          <w:rFonts w:ascii="Calibri" w:hAnsi="Calibri" w:cs="Calibri"/>
        </w:rPr>
        <w:t>universal</w:t>
      </w:r>
      <w:proofErr w:type="gramEnd"/>
      <w:r w:rsidRPr="00482DC4">
        <w:rPr>
          <w:rFonts w:ascii="Calibri" w:hAnsi="Calibri" w:cs="Calibri"/>
        </w:rPr>
        <w:t xml:space="preserve"> and many</w:t>
      </w:r>
      <w:r w:rsidR="00D1779C">
        <w:rPr>
          <w:rFonts w:ascii="Calibri" w:hAnsi="Calibri" w:cs="Calibri"/>
        </w:rPr>
        <w:t xml:space="preserve"> </w:t>
      </w:r>
      <w:r w:rsidRPr="00482DC4">
        <w:rPr>
          <w:rFonts w:ascii="Calibri" w:hAnsi="Calibri" w:cs="Calibri"/>
        </w:rPr>
        <w:t>universities appear to devolve even to the level of the School or Department. Unsurprisingly, the</w:t>
      </w:r>
      <w:r w:rsidR="00D1779C">
        <w:rPr>
          <w:rFonts w:ascii="Calibri" w:hAnsi="Calibri" w:cs="Calibri"/>
        </w:rPr>
        <w:t xml:space="preserve"> </w:t>
      </w:r>
      <w:r w:rsidRPr="00482DC4">
        <w:rPr>
          <w:rFonts w:ascii="Calibri" w:hAnsi="Calibri" w:cs="Calibri"/>
        </w:rPr>
        <w:t>most significant issue reported is the impact of Open Research on 'Recruitment, Retention and</w:t>
      </w:r>
      <w:r w:rsidR="00D1779C">
        <w:rPr>
          <w:rFonts w:ascii="Calibri" w:hAnsi="Calibri" w:cs="Calibri"/>
        </w:rPr>
        <w:t xml:space="preserve"> </w:t>
      </w:r>
      <w:r w:rsidRPr="00482DC4">
        <w:rPr>
          <w:rFonts w:ascii="Calibri" w:hAnsi="Calibri" w:cs="Calibri"/>
        </w:rPr>
        <w:t>Tenure' – addressing the 'RRT' conundrum is the key to accelerating the transition to an Open</w:t>
      </w:r>
      <w:r w:rsidR="00D1779C">
        <w:rPr>
          <w:rFonts w:ascii="Calibri" w:hAnsi="Calibri" w:cs="Calibri"/>
        </w:rPr>
        <w:t xml:space="preserve"> </w:t>
      </w:r>
      <w:r w:rsidRPr="00482DC4">
        <w:rPr>
          <w:rFonts w:ascii="Calibri" w:hAnsi="Calibri" w:cs="Calibri"/>
        </w:rPr>
        <w:t>Research Environment. There is evidence of nascent exploratory work being undertaken on system</w:t>
      </w:r>
      <w:r w:rsidR="00D1779C">
        <w:rPr>
          <w:rFonts w:ascii="Calibri" w:hAnsi="Calibri" w:cs="Calibri"/>
        </w:rPr>
        <w:t xml:space="preserve"> </w:t>
      </w:r>
      <w:r w:rsidRPr="00482DC4">
        <w:rPr>
          <w:rFonts w:ascii="Calibri" w:hAnsi="Calibri" w:cs="Calibri"/>
        </w:rPr>
        <w:t>level incentivisation, indicating that its importance is recognised; the National Academies of</w:t>
      </w:r>
      <w:r w:rsidR="00D1779C">
        <w:rPr>
          <w:rFonts w:ascii="Calibri" w:hAnsi="Calibri" w:cs="Calibri"/>
        </w:rPr>
        <w:t xml:space="preserve"> </w:t>
      </w:r>
      <w:r w:rsidRPr="00482DC4">
        <w:rPr>
          <w:rFonts w:ascii="Calibri" w:hAnsi="Calibri" w:cs="Calibri"/>
        </w:rPr>
        <w:t>Sciences, Engineering and Medicine, for example, held a Roundtable on Aligning Incentives for Open</w:t>
      </w:r>
      <w:r w:rsidR="00D1779C">
        <w:rPr>
          <w:rFonts w:ascii="Calibri" w:hAnsi="Calibri" w:cs="Calibri"/>
        </w:rPr>
        <w:t xml:space="preserve"> </w:t>
      </w:r>
      <w:r w:rsidRPr="00482DC4">
        <w:rPr>
          <w:rFonts w:ascii="Calibri" w:hAnsi="Calibri" w:cs="Calibri"/>
        </w:rPr>
        <w:t>Science</w:t>
      </w:r>
      <w:r w:rsidR="00C84401">
        <w:rPr>
          <w:rFonts w:ascii="Calibri" w:hAnsi="Calibri" w:cs="Calibri"/>
        </w:rPr>
        <w:t>.</w:t>
      </w:r>
      <w:r w:rsidR="00C84401">
        <w:rPr>
          <w:rStyle w:val="FootnoteReference"/>
          <w:rFonts w:ascii="Calibri" w:hAnsi="Calibri" w:cs="Calibri"/>
        </w:rPr>
        <w:footnoteReference w:id="20"/>
      </w:r>
      <w:r w:rsidRPr="00482DC4">
        <w:rPr>
          <w:rFonts w:ascii="Calibri" w:hAnsi="Calibri" w:cs="Calibri"/>
        </w:rPr>
        <w:t xml:space="preserve"> Overall, however, this agenda appears to be at an early stage in the US.</w:t>
      </w:r>
    </w:p>
    <w:p w14:paraId="2FE12F30" w14:textId="77777777" w:rsidR="00BD4451" w:rsidRDefault="00BD4451" w:rsidP="00C25D5E">
      <w:pPr>
        <w:rPr>
          <w:rFonts w:ascii="Calibri" w:hAnsi="Calibri" w:cs="Calibri"/>
          <w:b/>
          <w:bCs/>
        </w:rPr>
      </w:pPr>
    </w:p>
    <w:p w14:paraId="01BD5908" w14:textId="755225C7" w:rsidR="00FA4E90" w:rsidRDefault="00FA4E90" w:rsidP="00C25D5E">
      <w:pPr>
        <w:rPr>
          <w:rFonts w:ascii="Calibri" w:hAnsi="Calibri" w:cs="Calibri"/>
          <w:b/>
          <w:bCs/>
        </w:rPr>
      </w:pPr>
      <w:r>
        <w:rPr>
          <w:rFonts w:ascii="Calibri" w:hAnsi="Calibri" w:cs="Calibri"/>
          <w:b/>
          <w:bCs/>
        </w:rPr>
        <w:t>CONCLUSION</w:t>
      </w:r>
    </w:p>
    <w:p w14:paraId="5D504AC0" w14:textId="115767FB" w:rsidR="00FA4E90" w:rsidRPr="00942D3D" w:rsidRDefault="00994A60" w:rsidP="00942D3D">
      <w:pPr>
        <w:pStyle w:val="ListParagraph"/>
        <w:ind w:left="142"/>
        <w:rPr>
          <w:rFonts w:cs="Arial"/>
        </w:rPr>
      </w:pPr>
      <w:r w:rsidRPr="009618AE">
        <w:rPr>
          <w:rFonts w:cs="Arial"/>
          <w:b/>
          <w:bCs/>
        </w:rPr>
        <w:t xml:space="preserve">ABOARD’s </w:t>
      </w:r>
      <w:r w:rsidR="00FA4E90" w:rsidRPr="009618AE">
        <w:rPr>
          <w:rFonts w:cs="Arial"/>
          <w:b/>
          <w:bCs/>
        </w:rPr>
        <w:t>ultimate objective is to develop a detailed and concrete change process which will deliver coherent, system-level incentivising of Open Research, Responsible Research Assessment (RRA) and the use of Responsible Research Metrics (RRM)</w:t>
      </w:r>
      <w:r w:rsidR="009618AE">
        <w:rPr>
          <w:rFonts w:cs="Arial"/>
          <w:b/>
          <w:bCs/>
        </w:rPr>
        <w:t xml:space="preserve"> for Ireland</w:t>
      </w:r>
      <w:r w:rsidR="00FA4E90" w:rsidRPr="009618AE">
        <w:rPr>
          <w:rFonts w:cs="Arial"/>
          <w:b/>
          <w:bCs/>
        </w:rPr>
        <w:t>.</w:t>
      </w:r>
      <w:r w:rsidR="00FA4E90" w:rsidRPr="00FC7056">
        <w:rPr>
          <w:rFonts w:cs="Arial"/>
        </w:rPr>
        <w:t xml:space="preserve"> This is a major, national research culture initiative which will secure the firm commitment to key actions within specific timelines by all stakeholders in the Irish research landscape. </w:t>
      </w:r>
    </w:p>
    <w:p w14:paraId="6C507CCB" w14:textId="18004C3E" w:rsidR="00FA4E90" w:rsidRPr="00FC7056" w:rsidRDefault="00942D3D" w:rsidP="00FA4E90">
      <w:pPr>
        <w:pStyle w:val="ListParagraph"/>
        <w:ind w:left="142"/>
        <w:rPr>
          <w:rFonts w:cs="Arial"/>
        </w:rPr>
      </w:pPr>
      <w:r>
        <w:rPr>
          <w:rFonts w:cs="Arial"/>
        </w:rPr>
        <w:t>The</w:t>
      </w:r>
      <w:r w:rsidR="00FA4E90" w:rsidRPr="00FC7056">
        <w:rPr>
          <w:rFonts w:cs="Arial"/>
        </w:rPr>
        <w:t xml:space="preserve"> project takes as its starting point four propositions:</w:t>
      </w:r>
    </w:p>
    <w:p w14:paraId="66D057CD" w14:textId="77777777" w:rsidR="00FA4E90" w:rsidRPr="00FC7056" w:rsidRDefault="00FA4E90" w:rsidP="00FA4E90">
      <w:pPr>
        <w:pStyle w:val="ListParagraph"/>
        <w:ind w:left="142"/>
        <w:rPr>
          <w:rFonts w:cs="Arial"/>
        </w:rPr>
      </w:pPr>
    </w:p>
    <w:p w14:paraId="61C54E94" w14:textId="290BDF64" w:rsidR="00FA4E90" w:rsidRPr="00FC7056" w:rsidRDefault="00FA4E90" w:rsidP="00FA4E90">
      <w:pPr>
        <w:pStyle w:val="ListParagraph"/>
        <w:numPr>
          <w:ilvl w:val="0"/>
          <w:numId w:val="11"/>
        </w:numPr>
        <w:rPr>
          <w:rFonts w:cs="Arial"/>
        </w:rPr>
      </w:pPr>
      <w:r w:rsidRPr="00FC7056">
        <w:rPr>
          <w:rFonts w:cs="Arial"/>
        </w:rPr>
        <w:t xml:space="preserve">That effective incentivisation of Open Research practices requires basic alignment </w:t>
      </w:r>
      <w:r w:rsidRPr="00FC7056">
        <w:t xml:space="preserve">between all major actors within a system: sponsoring government department, research performing institutions, research funders and researchers. Any substantial misalignment between these </w:t>
      </w:r>
      <w:proofErr w:type="gramStart"/>
      <w:r w:rsidRPr="00FC7056">
        <w:t>actors</w:t>
      </w:r>
      <w:proofErr w:type="gramEnd"/>
      <w:r w:rsidRPr="00FC7056">
        <w:t xml:space="preserve"> risks fragmentation of researchers’ ‘lived experience’ of their research practices</w:t>
      </w:r>
      <w:r w:rsidR="00C025E7">
        <w:t>;</w:t>
      </w:r>
    </w:p>
    <w:p w14:paraId="69646E50" w14:textId="77777777" w:rsidR="00FA4E90" w:rsidRPr="00FC7056" w:rsidRDefault="00FA4E90" w:rsidP="00FA4E90">
      <w:pPr>
        <w:pStyle w:val="ListParagraph"/>
        <w:numPr>
          <w:ilvl w:val="0"/>
          <w:numId w:val="11"/>
        </w:numPr>
        <w:rPr>
          <w:rFonts w:cs="Arial"/>
        </w:rPr>
      </w:pPr>
      <w:r w:rsidRPr="00FC7056">
        <w:rPr>
          <w:rFonts w:cs="Arial"/>
        </w:rPr>
        <w:t xml:space="preserve">That the incentivisation of open research involves re-thinking research assessment </w:t>
      </w:r>
    </w:p>
    <w:p w14:paraId="4CE8D824" w14:textId="70430DD5" w:rsidR="00FA4E90" w:rsidRPr="00FC7056" w:rsidRDefault="00FA4E90" w:rsidP="00FA4E90">
      <w:pPr>
        <w:pStyle w:val="ListParagraph"/>
        <w:ind w:left="885" w:hanging="743"/>
        <w:rPr>
          <w:rFonts w:cs="Arial"/>
        </w:rPr>
      </w:pPr>
      <w:r>
        <w:rPr>
          <w:rFonts w:cs="Arial"/>
        </w:rPr>
        <w:t xml:space="preserve">               </w:t>
      </w:r>
      <w:r w:rsidRPr="00FC7056">
        <w:rPr>
          <w:rFonts w:cs="Arial"/>
        </w:rPr>
        <w:t xml:space="preserve">practices and, as such, is fundamentally imbricated in the power relations of the </w:t>
      </w:r>
      <w:r>
        <w:rPr>
          <w:rFonts w:cs="Arial"/>
        </w:rPr>
        <w:t xml:space="preserve">        </w:t>
      </w:r>
      <w:r w:rsidRPr="00FC7056">
        <w:rPr>
          <w:rFonts w:cs="Arial"/>
        </w:rPr>
        <w:t xml:space="preserve">academy and the broader research </w:t>
      </w:r>
      <w:proofErr w:type="gramStart"/>
      <w:r w:rsidRPr="00FC7056">
        <w:rPr>
          <w:rFonts w:cs="Arial"/>
        </w:rPr>
        <w:t>sector</w:t>
      </w:r>
      <w:r w:rsidR="00C025E7">
        <w:rPr>
          <w:rFonts w:cs="Arial"/>
        </w:rPr>
        <w:t>;</w:t>
      </w:r>
      <w:proofErr w:type="gramEnd"/>
    </w:p>
    <w:p w14:paraId="1BB8B832" w14:textId="77777777" w:rsidR="00FA4E90" w:rsidRPr="00FC7056" w:rsidRDefault="00FA4E90" w:rsidP="00FA4E90">
      <w:pPr>
        <w:pStyle w:val="ListParagraph"/>
        <w:numPr>
          <w:ilvl w:val="0"/>
          <w:numId w:val="11"/>
        </w:numPr>
        <w:rPr>
          <w:rFonts w:cs="Arial"/>
        </w:rPr>
      </w:pPr>
      <w:r w:rsidRPr="00FC7056">
        <w:rPr>
          <w:rFonts w:cs="Arial"/>
        </w:rPr>
        <w:t xml:space="preserve">That action-oriented conversations around incentivisation, rewards and research </w:t>
      </w:r>
    </w:p>
    <w:p w14:paraId="187F04D9" w14:textId="77777777" w:rsidR="00FA4E90" w:rsidRPr="00FC7056" w:rsidRDefault="00FA4E90" w:rsidP="00FA4E90">
      <w:pPr>
        <w:pStyle w:val="ListParagraph"/>
        <w:ind w:left="885"/>
        <w:rPr>
          <w:rFonts w:cs="Arial"/>
        </w:rPr>
      </w:pPr>
      <w:r w:rsidRPr="00FC7056">
        <w:rPr>
          <w:rFonts w:cs="Arial"/>
        </w:rPr>
        <w:t xml:space="preserve">assessment requires, within the Irish context, a much stronger engagement with </w:t>
      </w:r>
    </w:p>
    <w:p w14:paraId="5BE9B287" w14:textId="7A7B5D91" w:rsidR="00FA4E90" w:rsidRPr="00FC7056" w:rsidRDefault="00FA4E90" w:rsidP="00FA4E90">
      <w:pPr>
        <w:pStyle w:val="ListParagraph"/>
        <w:ind w:left="34" w:firstLine="108"/>
        <w:rPr>
          <w:rFonts w:cs="Arial"/>
        </w:rPr>
      </w:pPr>
      <w:r>
        <w:rPr>
          <w:rFonts w:cs="Arial"/>
        </w:rPr>
        <w:t xml:space="preserve">                </w:t>
      </w:r>
      <w:r w:rsidRPr="00FC7056">
        <w:rPr>
          <w:rFonts w:cs="Arial"/>
        </w:rPr>
        <w:t xml:space="preserve">researchers than has occurred </w:t>
      </w:r>
      <w:proofErr w:type="gramStart"/>
      <w:r w:rsidRPr="00FC7056">
        <w:rPr>
          <w:rFonts w:cs="Arial"/>
        </w:rPr>
        <w:t>hitherto</w:t>
      </w:r>
      <w:r w:rsidR="00C025E7">
        <w:rPr>
          <w:rFonts w:cs="Arial"/>
        </w:rPr>
        <w:t>;</w:t>
      </w:r>
      <w:proofErr w:type="gramEnd"/>
    </w:p>
    <w:p w14:paraId="2F72B9A3" w14:textId="77777777" w:rsidR="00FA4E90" w:rsidRPr="00FC7056" w:rsidRDefault="00FA4E90" w:rsidP="00FA4E90">
      <w:pPr>
        <w:pStyle w:val="ListParagraph"/>
        <w:numPr>
          <w:ilvl w:val="0"/>
          <w:numId w:val="11"/>
        </w:numPr>
        <w:rPr>
          <w:rFonts w:cs="Arial"/>
        </w:rPr>
      </w:pPr>
      <w:r w:rsidRPr="00FC7056">
        <w:rPr>
          <w:rFonts w:cs="Arial"/>
        </w:rPr>
        <w:t xml:space="preserve">That a dialogic and iterative consultation model is critical to reaching authentic and </w:t>
      </w:r>
      <w:r w:rsidRPr="00FC7056">
        <w:t>actionable agreement on a roadmap for the incentivisation of open research practices. Without such an approach this work risks becoming viewed by researchers as ‘another compliance’ matter rather than ultimately resulting in a bedrock shift in beliefs and behaviours.</w:t>
      </w:r>
    </w:p>
    <w:p w14:paraId="5F487ED3" w14:textId="77777777" w:rsidR="00FA4E90" w:rsidRPr="00FC7056" w:rsidRDefault="00FA4E90" w:rsidP="00FA4E90">
      <w:pPr>
        <w:pStyle w:val="ListParagraph"/>
        <w:ind w:left="142"/>
        <w:rPr>
          <w:rFonts w:cs="Arial"/>
        </w:rPr>
      </w:pPr>
    </w:p>
    <w:p w14:paraId="111F5CAB" w14:textId="4E9F139B" w:rsidR="00D30FF4" w:rsidRPr="007564F9" w:rsidRDefault="00BA503F" w:rsidP="00D30FF4">
      <w:pPr>
        <w:pStyle w:val="ListParagraph"/>
        <w:ind w:left="0"/>
        <w:rPr>
          <w:rFonts w:cs="Arial"/>
          <w:b/>
          <w:bCs/>
        </w:rPr>
      </w:pPr>
      <w:r w:rsidRPr="007564F9">
        <w:rPr>
          <w:rFonts w:cs="Arial"/>
          <w:b/>
          <w:bCs/>
        </w:rPr>
        <w:t>D</w:t>
      </w:r>
      <w:r w:rsidR="00D30FF4" w:rsidRPr="007564F9">
        <w:rPr>
          <w:rFonts w:cs="Arial"/>
          <w:b/>
          <w:bCs/>
        </w:rPr>
        <w:t>evelop</w:t>
      </w:r>
      <w:r w:rsidR="00320D8F" w:rsidRPr="007564F9">
        <w:rPr>
          <w:rFonts w:cs="Arial"/>
          <w:b/>
          <w:bCs/>
        </w:rPr>
        <w:t>ing a</w:t>
      </w:r>
      <w:r w:rsidR="00D30FF4" w:rsidRPr="007564F9">
        <w:rPr>
          <w:rFonts w:cs="Arial"/>
          <w:b/>
          <w:bCs/>
        </w:rPr>
        <w:t xml:space="preserve"> system-level incentivisation of open research, </w:t>
      </w:r>
      <w:r w:rsidRPr="007564F9">
        <w:rPr>
          <w:rFonts w:cs="Arial"/>
          <w:b/>
          <w:bCs/>
        </w:rPr>
        <w:t>ABOARD will ensure</w:t>
      </w:r>
      <w:r w:rsidR="00D30FF4" w:rsidRPr="007564F9">
        <w:rPr>
          <w:rFonts w:cs="Arial"/>
          <w:b/>
          <w:bCs/>
        </w:rPr>
        <w:t xml:space="preserve"> that the incentives that researchers encounter in all major fields of their activity </w:t>
      </w:r>
      <w:r w:rsidRPr="007564F9">
        <w:rPr>
          <w:rFonts w:cs="Arial"/>
          <w:b/>
          <w:bCs/>
        </w:rPr>
        <w:t>are</w:t>
      </w:r>
      <w:r w:rsidR="00D30FF4" w:rsidRPr="007564F9">
        <w:rPr>
          <w:rFonts w:cs="Arial"/>
          <w:b/>
          <w:bCs/>
        </w:rPr>
        <w:t xml:space="preserve"> aligned. This will hugely increase engagement with Open Research </w:t>
      </w:r>
      <w:r w:rsidR="003C71E0" w:rsidRPr="007564F9">
        <w:rPr>
          <w:rFonts w:cs="Arial"/>
          <w:b/>
          <w:bCs/>
        </w:rPr>
        <w:t>among the research community, including</w:t>
      </w:r>
      <w:r w:rsidR="00D30FF4" w:rsidRPr="007564F9">
        <w:rPr>
          <w:rFonts w:cs="Arial"/>
          <w:b/>
          <w:bCs/>
        </w:rPr>
        <w:t xml:space="preserve"> cohorts whose work is not currently funded by national or international funders</w:t>
      </w:r>
      <w:r w:rsidR="00870841" w:rsidRPr="007564F9">
        <w:rPr>
          <w:rFonts w:cs="Arial"/>
          <w:b/>
          <w:bCs/>
        </w:rPr>
        <w:t>,</w:t>
      </w:r>
      <w:r w:rsidR="00D30FF4" w:rsidRPr="007564F9">
        <w:rPr>
          <w:rFonts w:cs="Arial"/>
          <w:b/>
          <w:bCs/>
        </w:rPr>
        <w:t xml:space="preserve"> many of whom do have O</w:t>
      </w:r>
      <w:r w:rsidR="003C71E0" w:rsidRPr="007564F9">
        <w:rPr>
          <w:rFonts w:cs="Arial"/>
          <w:b/>
          <w:bCs/>
        </w:rPr>
        <w:t xml:space="preserve">pen </w:t>
      </w:r>
      <w:r w:rsidR="00D30FF4" w:rsidRPr="007564F9">
        <w:rPr>
          <w:rFonts w:cs="Arial"/>
          <w:b/>
          <w:bCs/>
        </w:rPr>
        <w:t>R</w:t>
      </w:r>
      <w:r w:rsidR="003C71E0" w:rsidRPr="007564F9">
        <w:rPr>
          <w:rFonts w:cs="Arial"/>
          <w:b/>
          <w:bCs/>
        </w:rPr>
        <w:t>esearch</w:t>
      </w:r>
      <w:r w:rsidR="00D30FF4" w:rsidRPr="007564F9">
        <w:rPr>
          <w:rFonts w:cs="Arial"/>
          <w:b/>
          <w:bCs/>
        </w:rPr>
        <w:t xml:space="preserve"> practices in place.</w:t>
      </w:r>
    </w:p>
    <w:p w14:paraId="6C41C4F6" w14:textId="7B32C4B0" w:rsidR="00D30FF4" w:rsidRDefault="00D30FF4" w:rsidP="00FA4E90">
      <w:pPr>
        <w:pStyle w:val="ListParagraph"/>
        <w:ind w:left="142"/>
        <w:rPr>
          <w:rFonts w:cs="Arial"/>
        </w:rPr>
      </w:pPr>
    </w:p>
    <w:p w14:paraId="7F120DA5" w14:textId="77777777" w:rsidR="005520DD" w:rsidRPr="00331503" w:rsidRDefault="005520DD" w:rsidP="005520DD">
      <w:pPr>
        <w:jc w:val="right"/>
        <w:rPr>
          <w:rFonts w:ascii="Calibri" w:hAnsi="Calibri" w:cs="Calibri"/>
          <w:i/>
          <w:iCs/>
          <w:sz w:val="20"/>
          <w:szCs w:val="20"/>
        </w:rPr>
      </w:pPr>
      <w:r w:rsidRPr="00331503">
        <w:rPr>
          <w:rFonts w:ascii="Calibri" w:hAnsi="Calibri" w:cs="Calibri"/>
          <w:i/>
          <w:iCs/>
          <w:sz w:val="20"/>
          <w:szCs w:val="20"/>
        </w:rPr>
        <w:t>Dr Florence Impens, Trinity College Dublin, November 2024.</w:t>
      </w:r>
    </w:p>
    <w:p w14:paraId="28659C37" w14:textId="77777777" w:rsidR="00D30FF4" w:rsidRDefault="00D30FF4" w:rsidP="005520DD">
      <w:pPr>
        <w:pStyle w:val="ListParagraph"/>
        <w:ind w:left="142"/>
        <w:rPr>
          <w:rFonts w:cs="Arial"/>
        </w:rPr>
      </w:pPr>
    </w:p>
    <w:p w14:paraId="2F19F02B" w14:textId="77777777" w:rsidR="00D30FF4" w:rsidRDefault="00D30FF4" w:rsidP="00FA4E90">
      <w:pPr>
        <w:pStyle w:val="ListParagraph"/>
        <w:ind w:left="142"/>
        <w:rPr>
          <w:rFonts w:cs="Arial"/>
        </w:rPr>
      </w:pPr>
    </w:p>
    <w:p w14:paraId="30AA87E8" w14:textId="77777777" w:rsidR="00FA4E90" w:rsidRDefault="00FA4E90" w:rsidP="00C25D5E">
      <w:pPr>
        <w:rPr>
          <w:rFonts w:ascii="Calibri" w:hAnsi="Calibri" w:cs="Calibri"/>
          <w:b/>
          <w:bCs/>
        </w:rPr>
      </w:pPr>
    </w:p>
    <w:p w14:paraId="52F581CD" w14:textId="77777777" w:rsidR="00BD4451" w:rsidRPr="00DD47F3" w:rsidRDefault="00BD4451" w:rsidP="00C25D5E"/>
    <w:p w14:paraId="7ED5C7BA" w14:textId="6932C16E" w:rsidR="004455F6" w:rsidRDefault="004455F6" w:rsidP="000D6AA5"/>
    <w:p w14:paraId="6EB08AC7" w14:textId="77777777" w:rsidR="004455F6" w:rsidRDefault="004455F6" w:rsidP="00A64A2A"/>
    <w:p w14:paraId="07953244" w14:textId="77777777" w:rsidR="004455F6" w:rsidRDefault="004455F6" w:rsidP="00A64A2A"/>
    <w:p w14:paraId="3C29D99A" w14:textId="6A4ED50A" w:rsidR="00D13D66" w:rsidRPr="000245F1" w:rsidRDefault="00D13D66" w:rsidP="00C14CF9">
      <w:pPr>
        <w:rPr>
          <w:rFonts w:ascii="Calibri" w:hAnsi="Calibri" w:cs="Calibri"/>
        </w:rPr>
      </w:pPr>
    </w:p>
    <w:p w14:paraId="007A28E2" w14:textId="77777777" w:rsidR="00FD71A3" w:rsidRPr="000A6AA1" w:rsidRDefault="00FD71A3" w:rsidP="00C14CF9">
      <w:pPr>
        <w:rPr>
          <w:rFonts w:ascii="Calibri" w:hAnsi="Calibri" w:cs="Calibri"/>
          <w:b/>
          <w:bCs/>
        </w:rPr>
      </w:pPr>
    </w:p>
    <w:p w14:paraId="70E8E87A" w14:textId="77777777" w:rsidR="004B4022" w:rsidRPr="00357A1F" w:rsidRDefault="004B4022" w:rsidP="00DE1C45">
      <w:pPr>
        <w:rPr>
          <w:rFonts w:ascii="Times New Roman" w:hAnsi="Times New Roman" w:cs="Times New Roman"/>
          <w:color w:val="FF0000"/>
        </w:rPr>
      </w:pPr>
    </w:p>
    <w:p w14:paraId="11072552" w14:textId="579A18FE" w:rsidR="00C53FA1" w:rsidRPr="00357A1F" w:rsidRDefault="00C53FA1" w:rsidP="00E70EE4">
      <w:pPr>
        <w:rPr>
          <w:rFonts w:ascii="Arial" w:hAnsi="Arial" w:cs="Arial"/>
          <w:color w:val="FF0000"/>
        </w:rPr>
      </w:pPr>
    </w:p>
    <w:sectPr w:rsidR="00C53FA1" w:rsidRPr="00357A1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AD3E" w14:textId="77777777" w:rsidR="001C08F7" w:rsidRDefault="001C08F7" w:rsidP="003B5191">
      <w:pPr>
        <w:spacing w:after="0" w:line="240" w:lineRule="auto"/>
      </w:pPr>
      <w:r>
        <w:separator/>
      </w:r>
    </w:p>
  </w:endnote>
  <w:endnote w:type="continuationSeparator" w:id="0">
    <w:p w14:paraId="1A2701CD" w14:textId="77777777" w:rsidR="001C08F7" w:rsidRDefault="001C08F7" w:rsidP="003B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349824"/>
      <w:docPartObj>
        <w:docPartGallery w:val="Page Numbers (Bottom of Page)"/>
        <w:docPartUnique/>
      </w:docPartObj>
    </w:sdtPr>
    <w:sdtEndPr>
      <w:rPr>
        <w:noProof/>
      </w:rPr>
    </w:sdtEndPr>
    <w:sdtContent>
      <w:p w14:paraId="11FD8169" w14:textId="22C9DA5A" w:rsidR="001C17CF" w:rsidRDefault="001C17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5A4F4" w14:textId="77777777" w:rsidR="001C17CF" w:rsidRDefault="001C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EC39" w14:textId="77777777" w:rsidR="001C08F7" w:rsidRDefault="001C08F7" w:rsidP="003B5191">
      <w:pPr>
        <w:spacing w:after="0" w:line="240" w:lineRule="auto"/>
      </w:pPr>
      <w:r>
        <w:separator/>
      </w:r>
    </w:p>
  </w:footnote>
  <w:footnote w:type="continuationSeparator" w:id="0">
    <w:p w14:paraId="0EAAB60C" w14:textId="77777777" w:rsidR="001C08F7" w:rsidRDefault="001C08F7" w:rsidP="003B5191">
      <w:pPr>
        <w:spacing w:after="0" w:line="240" w:lineRule="auto"/>
      </w:pPr>
      <w:r>
        <w:continuationSeparator/>
      </w:r>
    </w:p>
  </w:footnote>
  <w:footnote w:id="1">
    <w:p w14:paraId="06F9D116" w14:textId="77CE4D43" w:rsidR="003B5191" w:rsidRPr="00F63483" w:rsidRDefault="003B5191" w:rsidP="00F63483">
      <w:pPr>
        <w:spacing w:after="0"/>
        <w:rPr>
          <w:sz w:val="20"/>
          <w:szCs w:val="20"/>
        </w:rPr>
      </w:pPr>
      <w:r w:rsidRPr="009112A3">
        <w:rPr>
          <w:rStyle w:val="FootnoteReference"/>
          <w:sz w:val="20"/>
          <w:szCs w:val="20"/>
        </w:rPr>
        <w:footnoteRef/>
      </w:r>
      <w:r w:rsidRPr="009112A3">
        <w:rPr>
          <w:sz w:val="20"/>
          <w:szCs w:val="20"/>
        </w:rPr>
        <w:t xml:space="preserve"> This definition was adopted by Ireland in the National Action Plan for Open Research 2022-2030 (p.4). </w:t>
      </w:r>
    </w:p>
  </w:footnote>
  <w:footnote w:id="2">
    <w:p w14:paraId="60BC9563" w14:textId="3D13C44B" w:rsidR="00F63483" w:rsidRDefault="00F63483">
      <w:pPr>
        <w:pStyle w:val="FootnoteText"/>
      </w:pPr>
      <w:r>
        <w:rPr>
          <w:rStyle w:val="FootnoteReference"/>
        </w:rPr>
        <w:footnoteRef/>
      </w:r>
      <w:r>
        <w:t xml:space="preserve"> See COMMISSION RECOMMENDATION (EU) 2018/790 of 25 April 2018 on access to and preservation of scientific information, </w:t>
      </w:r>
      <w:hyperlink r:id="rId1" w:history="1">
        <w:r w:rsidR="00D065F6" w:rsidRPr="00F962F1">
          <w:rPr>
            <w:rStyle w:val="Hyperlink"/>
          </w:rPr>
          <w:t>https://eur-lex.europa.eu/legal-content/EN/TXT/PDF/?uri=CELEX:32018H0790</w:t>
        </w:r>
      </w:hyperlink>
      <w:r w:rsidR="00D065F6">
        <w:t>, last accessed 06.11.2024</w:t>
      </w:r>
    </w:p>
  </w:footnote>
  <w:footnote w:id="3">
    <w:p w14:paraId="0F11E7F7" w14:textId="2C220F76" w:rsidR="00833D7A" w:rsidRDefault="00833D7A">
      <w:pPr>
        <w:pStyle w:val="FootnoteText"/>
      </w:pPr>
      <w:r>
        <w:rPr>
          <w:rStyle w:val="FootnoteReference"/>
        </w:rPr>
        <w:footnoteRef/>
      </w:r>
      <w:r>
        <w:t xml:space="preserve"> </w:t>
      </w:r>
      <w:r w:rsidRPr="00833D7A">
        <w:t>https://op.europa.eu/en/publication-detail/-/publication/d36f8071-99bd-11ea-aac4-01aa75ed71a1</w:t>
      </w:r>
    </w:p>
  </w:footnote>
  <w:footnote w:id="4">
    <w:p w14:paraId="7391041E" w14:textId="4B6B9361" w:rsidR="00D34859" w:rsidRDefault="00D34859">
      <w:pPr>
        <w:pStyle w:val="FootnoteText"/>
      </w:pPr>
      <w:r>
        <w:rPr>
          <w:rStyle w:val="FootnoteReference"/>
        </w:rPr>
        <w:footnoteRef/>
      </w:r>
      <w:r>
        <w:t xml:space="preserve"> </w:t>
      </w:r>
      <w:r w:rsidR="00837794">
        <w:rPr>
          <w:rFonts w:ascii="Calibri" w:hAnsi="Calibri" w:cs="Calibri"/>
        </w:rPr>
        <w:t xml:space="preserve">Global Young Academy, </w:t>
      </w:r>
      <w:proofErr w:type="spellStart"/>
      <w:r w:rsidR="00837794">
        <w:rPr>
          <w:rFonts w:ascii="Calibri" w:hAnsi="Calibri" w:cs="Calibri"/>
        </w:rPr>
        <w:t>InterAcademy</w:t>
      </w:r>
      <w:proofErr w:type="spellEnd"/>
      <w:r w:rsidR="00837794">
        <w:rPr>
          <w:rFonts w:ascii="Calibri" w:hAnsi="Calibri" w:cs="Calibri"/>
        </w:rPr>
        <w:t xml:space="preserve"> Partnership, International Science Council, ‘Snapshots of Reform: Research Evaluation within Science Organisations’ (May 2024), p.2.</w:t>
      </w:r>
    </w:p>
  </w:footnote>
  <w:footnote w:id="5">
    <w:p w14:paraId="376E15AB" w14:textId="77777777" w:rsidR="00E777CA" w:rsidRDefault="00E777CA" w:rsidP="00E777CA">
      <w:pPr>
        <w:pStyle w:val="FootnoteText"/>
      </w:pPr>
      <w:r>
        <w:rPr>
          <w:rStyle w:val="FootnoteReference"/>
        </w:rPr>
        <w:footnoteRef/>
      </w:r>
      <w:r>
        <w:t xml:space="preserve"> See for instance the San Francisco Declaration on Research Assessment (2012), which provides substantiated evidence for those claims, including a short bibliography: </w:t>
      </w:r>
      <w:hyperlink r:id="rId2" w:history="1">
        <w:r w:rsidRPr="003E6612">
          <w:rPr>
            <w:rStyle w:val="Hyperlink"/>
          </w:rPr>
          <w:t>https://sfdora.org/read/</w:t>
        </w:r>
      </w:hyperlink>
      <w:r>
        <w:t>.</w:t>
      </w:r>
    </w:p>
  </w:footnote>
  <w:footnote w:id="6">
    <w:p w14:paraId="51BD76FE" w14:textId="77777777" w:rsidR="00BA456B" w:rsidRDefault="00BA456B" w:rsidP="00BA456B">
      <w:pPr>
        <w:pStyle w:val="FootnoteText"/>
      </w:pPr>
      <w:r>
        <w:rPr>
          <w:rStyle w:val="FootnoteReference"/>
        </w:rPr>
        <w:footnoteRef/>
      </w:r>
      <w:r>
        <w:t xml:space="preserve"> </w:t>
      </w:r>
      <w:r>
        <w:rPr>
          <w:rFonts w:ascii="Calibri" w:hAnsi="Calibri" w:cs="Calibri"/>
        </w:rPr>
        <w:t xml:space="preserve">Global Young Academy, </w:t>
      </w:r>
      <w:proofErr w:type="spellStart"/>
      <w:r>
        <w:rPr>
          <w:rFonts w:ascii="Calibri" w:hAnsi="Calibri" w:cs="Calibri"/>
        </w:rPr>
        <w:t>InterAcademy</w:t>
      </w:r>
      <w:proofErr w:type="spellEnd"/>
      <w:r>
        <w:rPr>
          <w:rFonts w:ascii="Calibri" w:hAnsi="Calibri" w:cs="Calibri"/>
        </w:rPr>
        <w:t xml:space="preserve"> Partnership, International Science Council, ‘Snapshots of Reform: Research Evaluation within Science Organisations’ (May 2024), p.2.</w:t>
      </w:r>
    </w:p>
    <w:p w14:paraId="3B464B46" w14:textId="6C8ACD5B" w:rsidR="00BA456B" w:rsidRDefault="00BA456B">
      <w:pPr>
        <w:pStyle w:val="FootnoteText"/>
      </w:pPr>
    </w:p>
  </w:footnote>
  <w:footnote w:id="7">
    <w:p w14:paraId="72A5A032" w14:textId="2DFA84AA" w:rsidR="001C02CD" w:rsidRDefault="001C02CD">
      <w:pPr>
        <w:pStyle w:val="FootnoteText"/>
      </w:pPr>
      <w:r>
        <w:rPr>
          <w:rStyle w:val="FootnoteReference"/>
        </w:rPr>
        <w:footnoteRef/>
      </w:r>
      <w:r>
        <w:t xml:space="preserve"> See for instance </w:t>
      </w:r>
      <w:r w:rsidR="00EC7C77">
        <w:t>Room for Everyone’s Talent, Netherlands (2023).</w:t>
      </w:r>
    </w:p>
  </w:footnote>
  <w:footnote w:id="8">
    <w:p w14:paraId="008343D7" w14:textId="77777777" w:rsidR="00C9030D" w:rsidRDefault="00C9030D" w:rsidP="00C9030D">
      <w:pPr>
        <w:pStyle w:val="FootnoteText"/>
      </w:pPr>
      <w:r>
        <w:rPr>
          <w:rStyle w:val="FootnoteReference"/>
        </w:rPr>
        <w:footnoteRef/>
      </w:r>
      <w:r>
        <w:t xml:space="preserve"> </w:t>
      </w:r>
      <w:proofErr w:type="spellStart"/>
      <w:r>
        <w:t>CoARA</w:t>
      </w:r>
      <w:proofErr w:type="spellEnd"/>
      <w:r>
        <w:t xml:space="preserve">, Agreement of Reforming Research Assessment (2022), </w:t>
      </w:r>
      <w:hyperlink r:id="rId3" w:history="1">
        <w:r w:rsidRPr="003E6612">
          <w:rPr>
            <w:rStyle w:val="Hyperlink"/>
          </w:rPr>
          <w:t>https://coara.eu/app/uploads/2022/09/2022_07_19_rra_agreement_final.pdf</w:t>
        </w:r>
      </w:hyperlink>
      <w:r>
        <w:t xml:space="preserve">, pp.3-4. Last accessed </w:t>
      </w:r>
      <w:proofErr w:type="gramStart"/>
      <w:r>
        <w:t>1.11.2024</w:t>
      </w:r>
      <w:proofErr w:type="gramEnd"/>
    </w:p>
  </w:footnote>
  <w:footnote w:id="9">
    <w:p w14:paraId="5D90C7DF" w14:textId="031C2553" w:rsidR="005801E5" w:rsidRDefault="005801E5">
      <w:pPr>
        <w:pStyle w:val="FootnoteText"/>
      </w:pPr>
      <w:r>
        <w:rPr>
          <w:rStyle w:val="FootnoteReference"/>
        </w:rPr>
        <w:footnoteRef/>
      </w:r>
      <w:r>
        <w:t xml:space="preserve"> As of </w:t>
      </w:r>
      <w:proofErr w:type="gramStart"/>
      <w:r>
        <w:t>October 15</w:t>
      </w:r>
      <w:r w:rsidRPr="005801E5">
        <w:rPr>
          <w:vertAlign w:val="superscript"/>
        </w:rPr>
        <w:t>th</w:t>
      </w:r>
      <w:proofErr w:type="gramEnd"/>
      <w:r>
        <w:t xml:space="preserve"> 2024. </w:t>
      </w:r>
      <w:r w:rsidR="0001177B" w:rsidRPr="0001177B">
        <w:t>https://coara.eu/agreement/signatories/</w:t>
      </w:r>
    </w:p>
  </w:footnote>
  <w:footnote w:id="10">
    <w:p w14:paraId="18B80C74" w14:textId="541F94BC" w:rsidR="00893181" w:rsidRDefault="00893181">
      <w:pPr>
        <w:pStyle w:val="FootnoteText"/>
      </w:pPr>
      <w:r>
        <w:rPr>
          <w:rStyle w:val="FootnoteReference"/>
        </w:rPr>
        <w:footnoteRef/>
      </w:r>
      <w:r>
        <w:t xml:space="preserve"> See ‘Snapshots’ pp.8-9.</w:t>
      </w:r>
    </w:p>
  </w:footnote>
  <w:footnote w:id="11">
    <w:p w14:paraId="4A6E086A" w14:textId="467B9B10" w:rsidR="007575F8" w:rsidRDefault="007575F8">
      <w:pPr>
        <w:pStyle w:val="FootnoteText"/>
      </w:pPr>
      <w:r>
        <w:rPr>
          <w:rStyle w:val="FootnoteReference"/>
        </w:rPr>
        <w:footnoteRef/>
      </w:r>
      <w:r w:rsidR="002978F3">
        <w:t xml:space="preserve"> Ibid.,</w:t>
      </w:r>
      <w:r>
        <w:t xml:space="preserve"> </w:t>
      </w:r>
      <w:r w:rsidR="00820CA0">
        <w:t>p</w:t>
      </w:r>
      <w:r>
        <w:t>. 9</w:t>
      </w:r>
      <w:r w:rsidR="00820CA0">
        <w:t>.</w:t>
      </w:r>
    </w:p>
  </w:footnote>
  <w:footnote w:id="12">
    <w:p w14:paraId="25969320" w14:textId="77777777" w:rsidR="000F7CCD" w:rsidRDefault="00974B59" w:rsidP="000F7CCD">
      <w:pPr>
        <w:pStyle w:val="FootnoteText"/>
      </w:pPr>
      <w:r>
        <w:rPr>
          <w:rStyle w:val="FootnoteReference"/>
        </w:rPr>
        <w:footnoteRef/>
      </w:r>
      <w:r>
        <w:t xml:space="preserve"> </w:t>
      </w:r>
      <w:r w:rsidR="000F7CCD">
        <w:t xml:space="preserve">Smith, S., Donovan, J., </w:t>
      </w:r>
      <w:proofErr w:type="spellStart"/>
      <w:r w:rsidR="000F7CCD">
        <w:t>Hevari</w:t>
      </w:r>
      <w:proofErr w:type="spellEnd"/>
      <w:r w:rsidR="000F7CCD">
        <w:t>, B., &amp; Loughran, R. (2021). System-level Incentivisation of Open</w:t>
      </w:r>
    </w:p>
    <w:p w14:paraId="3473E5FD" w14:textId="15421257" w:rsidR="00974B59" w:rsidRDefault="000F7CCD" w:rsidP="000F7CCD">
      <w:pPr>
        <w:pStyle w:val="FootnoteText"/>
      </w:pPr>
      <w:r>
        <w:t xml:space="preserve">Research Practices. National Open Research Forum, Ireland, p.5. https://doi.org/10.7486/DRI.k069nz78d </w:t>
      </w:r>
    </w:p>
  </w:footnote>
  <w:footnote w:id="13">
    <w:p w14:paraId="627994EA" w14:textId="1245D8C5" w:rsidR="000871BE" w:rsidRDefault="000871BE">
      <w:pPr>
        <w:pStyle w:val="FootnoteText"/>
      </w:pPr>
      <w:r>
        <w:rPr>
          <w:rStyle w:val="FootnoteReference"/>
        </w:rPr>
        <w:footnoteRef/>
      </w:r>
      <w:r>
        <w:t xml:space="preserve"> </w:t>
      </w:r>
      <w:r w:rsidRPr="000871BE">
        <w:t>The NORF-funded TROPIC project (‘Training for Open Research in an Irish Context’) has identified a significant gap between high levels of awareness of Open Research practices among Ireland-based researchers and their willingness to engage in them on the one hand, and on the other, their actual engagement in open research practices.</w:t>
      </w:r>
      <w:r>
        <w:t xml:space="preserve"> See </w:t>
      </w:r>
      <w:r w:rsidR="00490A34">
        <w:t xml:space="preserve">the </w:t>
      </w:r>
      <w:hyperlink r:id="rId4" w:history="1">
        <w:r w:rsidR="00490A34" w:rsidRPr="00490A34">
          <w:rPr>
            <w:rStyle w:val="Hyperlink"/>
          </w:rPr>
          <w:t>TROPIC Survey results</w:t>
        </w:r>
      </w:hyperlink>
      <w:r w:rsidR="00490A34">
        <w:t>, last accessed 06.11.24.</w:t>
      </w:r>
    </w:p>
  </w:footnote>
  <w:footnote w:id="14">
    <w:p w14:paraId="4184C11B" w14:textId="3A243195" w:rsidR="00146524" w:rsidRDefault="00146524">
      <w:pPr>
        <w:pStyle w:val="FootnoteText"/>
      </w:pPr>
      <w:r>
        <w:rPr>
          <w:rStyle w:val="FootnoteReference"/>
        </w:rPr>
        <w:footnoteRef/>
      </w:r>
      <w:r>
        <w:t xml:space="preserve"> </w:t>
      </w:r>
      <w:r w:rsidRPr="00146524">
        <w:t>https://www.aka.fi/en/about-us/whats-new/press-releases/20202/two-new-recommendations-issued-to-improve-responsible-researcher-evaluation/</w:t>
      </w:r>
    </w:p>
  </w:footnote>
  <w:footnote w:id="15">
    <w:p w14:paraId="117F11AC" w14:textId="506C9D23" w:rsidR="00FB324B" w:rsidRDefault="00FB324B">
      <w:pPr>
        <w:pStyle w:val="FootnoteText"/>
      </w:pPr>
      <w:r>
        <w:rPr>
          <w:rStyle w:val="FootnoteReference"/>
        </w:rPr>
        <w:footnoteRef/>
      </w:r>
      <w:r>
        <w:t xml:space="preserve"> </w:t>
      </w:r>
      <w:r w:rsidRPr="00FB324B">
        <w:t>https://www.uhr.no/en/_f/p3/i86e9ec84-3b3d-48ce-8167-bbae0f507ce8/nor-cam-a-tool-box-for-assessment-and-rewards.pdf</w:t>
      </w:r>
    </w:p>
  </w:footnote>
  <w:footnote w:id="16">
    <w:p w14:paraId="1BEA64DD" w14:textId="77777777" w:rsidR="0016702F" w:rsidRDefault="004B06EC" w:rsidP="0016702F">
      <w:pPr>
        <w:autoSpaceDE w:val="0"/>
        <w:autoSpaceDN w:val="0"/>
        <w:adjustRightInd w:val="0"/>
        <w:spacing w:after="0" w:line="240" w:lineRule="auto"/>
        <w:rPr>
          <w:rFonts w:ascii="Calibri" w:hAnsi="Calibri" w:cs="Calibri"/>
          <w:color w:val="000000"/>
          <w:kern w:val="0"/>
          <w:sz w:val="20"/>
          <w:szCs w:val="20"/>
        </w:rPr>
      </w:pPr>
      <w:r>
        <w:rPr>
          <w:rStyle w:val="FootnoteReference"/>
        </w:rPr>
        <w:footnoteRef/>
      </w:r>
      <w:r>
        <w:t xml:space="preserve"> </w:t>
      </w:r>
      <w:r w:rsidR="0016702F">
        <w:rPr>
          <w:rFonts w:ascii="Calibri" w:hAnsi="Calibri" w:cs="Calibri"/>
          <w:color w:val="000000"/>
          <w:kern w:val="0"/>
          <w:sz w:val="20"/>
          <w:szCs w:val="20"/>
        </w:rPr>
        <w:t xml:space="preserve">Dutch Recognition and Rewards programme: </w:t>
      </w:r>
      <w:proofErr w:type="gramStart"/>
      <w:r w:rsidR="0016702F">
        <w:rPr>
          <w:rFonts w:ascii="Calibri" w:hAnsi="Calibri" w:cs="Calibri"/>
          <w:color w:val="1155CD"/>
          <w:kern w:val="0"/>
          <w:sz w:val="20"/>
          <w:szCs w:val="20"/>
        </w:rPr>
        <w:t>https://recognitionrewards.nl/about/about-the-programme/</w:t>
      </w:r>
      <w:r w:rsidR="0016702F">
        <w:rPr>
          <w:rFonts w:ascii="Calibri" w:hAnsi="Calibri" w:cs="Calibri"/>
          <w:color w:val="000000"/>
          <w:kern w:val="0"/>
          <w:sz w:val="20"/>
          <w:szCs w:val="20"/>
        </w:rPr>
        <w:t>;</w:t>
      </w:r>
      <w:proofErr w:type="gramEnd"/>
    </w:p>
    <w:p w14:paraId="0A2C3127" w14:textId="77777777" w:rsidR="0016702F" w:rsidRDefault="0016702F" w:rsidP="0016702F">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see also </w:t>
      </w:r>
      <w:r>
        <w:rPr>
          <w:rFonts w:ascii="Calibri-Italic" w:hAnsi="Calibri-Italic" w:cs="Calibri-Italic"/>
          <w:i/>
          <w:iCs/>
          <w:color w:val="000000"/>
          <w:kern w:val="0"/>
          <w:sz w:val="20"/>
          <w:szCs w:val="20"/>
        </w:rPr>
        <w:t xml:space="preserve">Open Science: The very idea </w:t>
      </w:r>
      <w:r>
        <w:rPr>
          <w:rFonts w:ascii="Calibri" w:hAnsi="Calibri" w:cs="Calibri"/>
          <w:color w:val="000000"/>
          <w:kern w:val="0"/>
          <w:sz w:val="20"/>
          <w:szCs w:val="20"/>
        </w:rPr>
        <w:t xml:space="preserve">for an account of developments in the </w:t>
      </w:r>
      <w:proofErr w:type="gramStart"/>
      <w:r>
        <w:rPr>
          <w:rFonts w:ascii="Calibri" w:hAnsi="Calibri" w:cs="Calibri"/>
          <w:color w:val="000000"/>
          <w:kern w:val="0"/>
          <w:sz w:val="20"/>
          <w:szCs w:val="20"/>
        </w:rPr>
        <w:t>Netherlands</w:t>
      </w:r>
      <w:proofErr w:type="gramEnd"/>
    </w:p>
    <w:p w14:paraId="3D160670" w14:textId="29F1806D" w:rsidR="004B06EC" w:rsidRPr="00925DA3" w:rsidRDefault="00000000" w:rsidP="0016702F">
      <w:pPr>
        <w:pStyle w:val="FootnoteText"/>
      </w:pPr>
      <w:hyperlink r:id="rId5" w:history="1">
        <w:r w:rsidR="0016702F" w:rsidRPr="00F962F1">
          <w:rPr>
            <w:rStyle w:val="Hyperlink"/>
            <w:rFonts w:ascii="Calibri" w:hAnsi="Calibri" w:cs="Calibri"/>
            <w:kern w:val="0"/>
          </w:rPr>
          <w:t>https://doi.org/10.1007/978-94-024-2115-6</w:t>
        </w:r>
      </w:hyperlink>
      <w:r w:rsidR="0016702F">
        <w:rPr>
          <w:rFonts w:ascii="Calibri" w:hAnsi="Calibri" w:cs="Calibri"/>
          <w:color w:val="1155CD"/>
          <w:kern w:val="0"/>
        </w:rPr>
        <w:t xml:space="preserve">. </w:t>
      </w:r>
      <w:r w:rsidR="00F60A56" w:rsidRPr="00925DA3">
        <w:rPr>
          <w:rFonts w:ascii="Calibri" w:hAnsi="Calibri" w:cs="Calibri"/>
          <w:kern w:val="0"/>
        </w:rPr>
        <w:t xml:space="preserve">See the 2023 </w:t>
      </w:r>
      <w:r w:rsidR="002B60D7" w:rsidRPr="00925DA3">
        <w:rPr>
          <w:rFonts w:ascii="Calibri" w:hAnsi="Calibri" w:cs="Calibri"/>
          <w:kern w:val="0"/>
        </w:rPr>
        <w:t>‘</w:t>
      </w:r>
      <w:hyperlink r:id="rId6" w:history="1">
        <w:r w:rsidR="002B60D7" w:rsidRPr="00925DA3">
          <w:rPr>
            <w:rStyle w:val="Hyperlink"/>
            <w:rFonts w:ascii="Calibri" w:hAnsi="Calibri" w:cs="Calibri"/>
            <w:kern w:val="0"/>
          </w:rPr>
          <w:t>Room for Everyone’s Talent in Practice’</w:t>
        </w:r>
      </w:hyperlink>
      <w:r w:rsidR="002B60D7" w:rsidRPr="00925DA3">
        <w:rPr>
          <w:rFonts w:ascii="Calibri" w:hAnsi="Calibri" w:cs="Calibri"/>
          <w:kern w:val="0"/>
        </w:rPr>
        <w:t xml:space="preserve"> for an early evaluation of the programme</w:t>
      </w:r>
      <w:r w:rsidR="00925DA3" w:rsidRPr="00925DA3">
        <w:rPr>
          <w:rFonts w:ascii="Calibri" w:hAnsi="Calibri" w:cs="Calibri"/>
          <w:kern w:val="0"/>
        </w:rPr>
        <w:t>.</w:t>
      </w:r>
    </w:p>
  </w:footnote>
  <w:footnote w:id="17">
    <w:p w14:paraId="78CC376E" w14:textId="0C1347F9" w:rsidR="001B5934" w:rsidRDefault="001B5934">
      <w:pPr>
        <w:pStyle w:val="FootnoteText"/>
      </w:pPr>
      <w:r>
        <w:rPr>
          <w:rStyle w:val="FootnoteReference"/>
        </w:rPr>
        <w:footnoteRef/>
      </w:r>
      <w:r>
        <w:t xml:space="preserve"> </w:t>
      </w:r>
      <w:r w:rsidRPr="001B5934">
        <w:t>https://www.ouvrirlascience.fr/second-national-plan-for-open-science/</w:t>
      </w:r>
    </w:p>
  </w:footnote>
  <w:footnote w:id="18">
    <w:p w14:paraId="684C89DA" w14:textId="7C6C2277" w:rsidR="008A1825" w:rsidRDefault="008A1825">
      <w:pPr>
        <w:pStyle w:val="FootnoteText"/>
      </w:pPr>
      <w:r>
        <w:rPr>
          <w:rStyle w:val="FootnoteReference"/>
        </w:rPr>
        <w:footnoteRef/>
      </w:r>
      <w:r>
        <w:t xml:space="preserve"> </w:t>
      </w:r>
      <w:r w:rsidRPr="008A1825">
        <w:t>https://www.ukri.org/what-we-do/supporting-healthy-research-and-innovation-culture/research-and-innovation-culture/</w:t>
      </w:r>
    </w:p>
  </w:footnote>
  <w:footnote w:id="19">
    <w:p w14:paraId="3F782168" w14:textId="2884C7B1" w:rsidR="0084492A" w:rsidRPr="00637046" w:rsidRDefault="0084492A">
      <w:pPr>
        <w:pStyle w:val="FootnoteText"/>
        <w:rPr>
          <w:rFonts w:ascii="Calibri" w:hAnsi="Calibri" w:cs="Calibri"/>
          <w:kern w:val="0"/>
        </w:rPr>
      </w:pPr>
      <w:r>
        <w:rPr>
          <w:rStyle w:val="FootnoteReference"/>
        </w:rPr>
        <w:footnoteRef/>
      </w:r>
      <w:r w:rsidR="00D538E5">
        <w:rPr>
          <w:rFonts w:ascii="Calibri" w:hAnsi="Calibri" w:cs="Calibri"/>
          <w:color w:val="1155CD"/>
          <w:kern w:val="0"/>
        </w:rPr>
        <w:t xml:space="preserve"> </w:t>
      </w:r>
      <w:r w:rsidR="00D1779C" w:rsidRPr="00637046">
        <w:rPr>
          <w:rFonts w:ascii="Calibri" w:hAnsi="Calibri" w:cs="Calibri"/>
          <w:kern w:val="0"/>
        </w:rPr>
        <w:t>https://www.ukri.org/wp-content/uploads/2020/10/UKRI-091020-CorporatePlan2020-21.pdf</w:t>
      </w:r>
      <w:r w:rsidRPr="00637046">
        <w:rPr>
          <w:rFonts w:ascii="Calibri" w:hAnsi="Calibri" w:cs="Calibri"/>
          <w:kern w:val="0"/>
        </w:rPr>
        <w:t xml:space="preserve"> (see p. 19)</w:t>
      </w:r>
    </w:p>
  </w:footnote>
  <w:footnote w:id="20">
    <w:p w14:paraId="331FC355" w14:textId="5E6D0219" w:rsidR="00C84401" w:rsidRDefault="00C84401">
      <w:pPr>
        <w:pStyle w:val="FootnoteText"/>
      </w:pPr>
      <w:r>
        <w:rPr>
          <w:rStyle w:val="FootnoteReference"/>
        </w:rPr>
        <w:footnoteRef/>
      </w:r>
      <w:r>
        <w:t xml:space="preserve"> </w:t>
      </w:r>
      <w:r w:rsidRPr="00C84401">
        <w:t>https://www.nationalacademies.org/our-work/roundtable-on-aligning-incentives-for-open-science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601A"/>
    <w:multiLevelType w:val="hybridMultilevel"/>
    <w:tmpl w:val="1952A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B01DD0"/>
    <w:multiLevelType w:val="hybridMultilevel"/>
    <w:tmpl w:val="D9505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891B65"/>
    <w:multiLevelType w:val="hybridMultilevel"/>
    <w:tmpl w:val="2E0AC3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D41D98"/>
    <w:multiLevelType w:val="hybridMultilevel"/>
    <w:tmpl w:val="61D240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26A4227"/>
    <w:multiLevelType w:val="hybridMultilevel"/>
    <w:tmpl w:val="08E81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DC87063"/>
    <w:multiLevelType w:val="hybridMultilevel"/>
    <w:tmpl w:val="474A5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83520"/>
    <w:multiLevelType w:val="hybridMultilevel"/>
    <w:tmpl w:val="A900F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F565236"/>
    <w:multiLevelType w:val="hybridMultilevel"/>
    <w:tmpl w:val="F00A635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0F164C9"/>
    <w:multiLevelType w:val="multilevel"/>
    <w:tmpl w:val="D1CAC7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6721CD3"/>
    <w:multiLevelType w:val="hybridMultilevel"/>
    <w:tmpl w:val="16FC350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96E61ED"/>
    <w:multiLevelType w:val="hybridMultilevel"/>
    <w:tmpl w:val="1BDC2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1E23A65"/>
    <w:multiLevelType w:val="hybridMultilevel"/>
    <w:tmpl w:val="DC241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25C76FD"/>
    <w:multiLevelType w:val="hybridMultilevel"/>
    <w:tmpl w:val="F92466F8"/>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3" w15:restartNumberingAfterBreak="0">
    <w:nsid w:val="77A71E91"/>
    <w:multiLevelType w:val="hybridMultilevel"/>
    <w:tmpl w:val="B3988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27048842">
    <w:abstractNumId w:val="7"/>
  </w:num>
  <w:num w:numId="2" w16cid:durableId="1538396864">
    <w:abstractNumId w:val="2"/>
  </w:num>
  <w:num w:numId="3" w16cid:durableId="80444505">
    <w:abstractNumId w:val="3"/>
  </w:num>
  <w:num w:numId="4" w16cid:durableId="1127549271">
    <w:abstractNumId w:val="13"/>
  </w:num>
  <w:num w:numId="5" w16cid:durableId="384841594">
    <w:abstractNumId w:val="11"/>
  </w:num>
  <w:num w:numId="6" w16cid:durableId="1717122860">
    <w:abstractNumId w:val="6"/>
  </w:num>
  <w:num w:numId="7" w16cid:durableId="601035098">
    <w:abstractNumId w:val="8"/>
  </w:num>
  <w:num w:numId="8" w16cid:durableId="847328790">
    <w:abstractNumId w:val="4"/>
  </w:num>
  <w:num w:numId="9" w16cid:durableId="306710365">
    <w:abstractNumId w:val="5"/>
  </w:num>
  <w:num w:numId="10" w16cid:durableId="1074162123">
    <w:abstractNumId w:val="9"/>
  </w:num>
  <w:num w:numId="11" w16cid:durableId="392436640">
    <w:abstractNumId w:val="12"/>
  </w:num>
  <w:num w:numId="12" w16cid:durableId="1778791257">
    <w:abstractNumId w:val="1"/>
  </w:num>
  <w:num w:numId="13" w16cid:durableId="1417480521">
    <w:abstractNumId w:val="10"/>
  </w:num>
  <w:num w:numId="14" w16cid:durableId="164156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A7"/>
    <w:rsid w:val="0000013C"/>
    <w:rsid w:val="000009D0"/>
    <w:rsid w:val="0001177B"/>
    <w:rsid w:val="00023BE1"/>
    <w:rsid w:val="000245F1"/>
    <w:rsid w:val="000268FF"/>
    <w:rsid w:val="000515BB"/>
    <w:rsid w:val="0007626B"/>
    <w:rsid w:val="00082818"/>
    <w:rsid w:val="00084890"/>
    <w:rsid w:val="00085FFC"/>
    <w:rsid w:val="000871BE"/>
    <w:rsid w:val="00087490"/>
    <w:rsid w:val="0009397B"/>
    <w:rsid w:val="00094F1F"/>
    <w:rsid w:val="000A6AA1"/>
    <w:rsid w:val="000B6CBA"/>
    <w:rsid w:val="000C17E3"/>
    <w:rsid w:val="000C26F4"/>
    <w:rsid w:val="000C40A9"/>
    <w:rsid w:val="000C7728"/>
    <w:rsid w:val="000D5BA9"/>
    <w:rsid w:val="000D6AA5"/>
    <w:rsid w:val="000F410A"/>
    <w:rsid w:val="000F58B4"/>
    <w:rsid w:val="000F7CCD"/>
    <w:rsid w:val="00101556"/>
    <w:rsid w:val="0010405F"/>
    <w:rsid w:val="00117547"/>
    <w:rsid w:val="00121327"/>
    <w:rsid w:val="00121D25"/>
    <w:rsid w:val="00134DB2"/>
    <w:rsid w:val="00140FF3"/>
    <w:rsid w:val="00143B31"/>
    <w:rsid w:val="00144F2D"/>
    <w:rsid w:val="00146524"/>
    <w:rsid w:val="001560B6"/>
    <w:rsid w:val="00162620"/>
    <w:rsid w:val="0016702F"/>
    <w:rsid w:val="00176B2F"/>
    <w:rsid w:val="00177DA8"/>
    <w:rsid w:val="0018108C"/>
    <w:rsid w:val="00181DC1"/>
    <w:rsid w:val="0019265E"/>
    <w:rsid w:val="001B2F90"/>
    <w:rsid w:val="001B5934"/>
    <w:rsid w:val="001C02CD"/>
    <w:rsid w:val="001C08F7"/>
    <w:rsid w:val="001C17CF"/>
    <w:rsid w:val="001C3C34"/>
    <w:rsid w:val="001C79DD"/>
    <w:rsid w:val="001D153F"/>
    <w:rsid w:val="001D3006"/>
    <w:rsid w:val="001E398B"/>
    <w:rsid w:val="001E4C5F"/>
    <w:rsid w:val="001F11D5"/>
    <w:rsid w:val="001F7C14"/>
    <w:rsid w:val="00200836"/>
    <w:rsid w:val="00223082"/>
    <w:rsid w:val="00225D07"/>
    <w:rsid w:val="00226751"/>
    <w:rsid w:val="002449A3"/>
    <w:rsid w:val="00260A86"/>
    <w:rsid w:val="00260B48"/>
    <w:rsid w:val="00262D13"/>
    <w:rsid w:val="00264120"/>
    <w:rsid w:val="00271C42"/>
    <w:rsid w:val="00280A25"/>
    <w:rsid w:val="002903FE"/>
    <w:rsid w:val="002978F3"/>
    <w:rsid w:val="002A53FA"/>
    <w:rsid w:val="002B60D7"/>
    <w:rsid w:val="002C1914"/>
    <w:rsid w:val="002C22DA"/>
    <w:rsid w:val="002C7B36"/>
    <w:rsid w:val="002D2E2A"/>
    <w:rsid w:val="002D45D5"/>
    <w:rsid w:val="002E589E"/>
    <w:rsid w:val="002F183F"/>
    <w:rsid w:val="002F2F54"/>
    <w:rsid w:val="00301DD6"/>
    <w:rsid w:val="0030484A"/>
    <w:rsid w:val="00315A1E"/>
    <w:rsid w:val="00320D8F"/>
    <w:rsid w:val="00331503"/>
    <w:rsid w:val="00350442"/>
    <w:rsid w:val="00354D15"/>
    <w:rsid w:val="00357A1F"/>
    <w:rsid w:val="00357AA0"/>
    <w:rsid w:val="00362BDF"/>
    <w:rsid w:val="0036768B"/>
    <w:rsid w:val="0037163D"/>
    <w:rsid w:val="003808A8"/>
    <w:rsid w:val="003857E9"/>
    <w:rsid w:val="003A0CE5"/>
    <w:rsid w:val="003A42A3"/>
    <w:rsid w:val="003B20AD"/>
    <w:rsid w:val="003B3361"/>
    <w:rsid w:val="003B5191"/>
    <w:rsid w:val="003C0BBF"/>
    <w:rsid w:val="003C71E0"/>
    <w:rsid w:val="003F3A24"/>
    <w:rsid w:val="00411F5D"/>
    <w:rsid w:val="00414258"/>
    <w:rsid w:val="004163B0"/>
    <w:rsid w:val="00426B02"/>
    <w:rsid w:val="004278E1"/>
    <w:rsid w:val="00432E55"/>
    <w:rsid w:val="00441AD1"/>
    <w:rsid w:val="004455F6"/>
    <w:rsid w:val="004658F6"/>
    <w:rsid w:val="00466CB0"/>
    <w:rsid w:val="004675FA"/>
    <w:rsid w:val="00482DC4"/>
    <w:rsid w:val="00490A34"/>
    <w:rsid w:val="00490D13"/>
    <w:rsid w:val="0049116F"/>
    <w:rsid w:val="00497A04"/>
    <w:rsid w:val="004B06EC"/>
    <w:rsid w:val="004B4022"/>
    <w:rsid w:val="004C244A"/>
    <w:rsid w:val="004C30DE"/>
    <w:rsid w:val="004C3A0D"/>
    <w:rsid w:val="004C64F0"/>
    <w:rsid w:val="004E2F73"/>
    <w:rsid w:val="004E3FD5"/>
    <w:rsid w:val="004F25E6"/>
    <w:rsid w:val="004F6F84"/>
    <w:rsid w:val="00504F74"/>
    <w:rsid w:val="00507D41"/>
    <w:rsid w:val="005131CF"/>
    <w:rsid w:val="00524A83"/>
    <w:rsid w:val="00526BF2"/>
    <w:rsid w:val="005347CB"/>
    <w:rsid w:val="00536988"/>
    <w:rsid w:val="005419E9"/>
    <w:rsid w:val="00542C42"/>
    <w:rsid w:val="00550451"/>
    <w:rsid w:val="005509A1"/>
    <w:rsid w:val="005520DD"/>
    <w:rsid w:val="00556061"/>
    <w:rsid w:val="00561D54"/>
    <w:rsid w:val="0056210B"/>
    <w:rsid w:val="005652C9"/>
    <w:rsid w:val="0056546A"/>
    <w:rsid w:val="0057074B"/>
    <w:rsid w:val="00577D4D"/>
    <w:rsid w:val="005801E5"/>
    <w:rsid w:val="00580696"/>
    <w:rsid w:val="00580BD4"/>
    <w:rsid w:val="00582B5B"/>
    <w:rsid w:val="00583D34"/>
    <w:rsid w:val="00587D8F"/>
    <w:rsid w:val="00595B97"/>
    <w:rsid w:val="005A14B0"/>
    <w:rsid w:val="005B3183"/>
    <w:rsid w:val="005C24BE"/>
    <w:rsid w:val="005C5B26"/>
    <w:rsid w:val="005D1558"/>
    <w:rsid w:val="005D40BC"/>
    <w:rsid w:val="005D55DC"/>
    <w:rsid w:val="005D5B72"/>
    <w:rsid w:val="005D7CFF"/>
    <w:rsid w:val="005E5FF9"/>
    <w:rsid w:val="00601380"/>
    <w:rsid w:val="00607A92"/>
    <w:rsid w:val="006115B2"/>
    <w:rsid w:val="00611904"/>
    <w:rsid w:val="0061429B"/>
    <w:rsid w:val="0061582E"/>
    <w:rsid w:val="00616ABC"/>
    <w:rsid w:val="006202DE"/>
    <w:rsid w:val="00633E02"/>
    <w:rsid w:val="00637046"/>
    <w:rsid w:val="00645FA8"/>
    <w:rsid w:val="006541E6"/>
    <w:rsid w:val="00655798"/>
    <w:rsid w:val="0065752A"/>
    <w:rsid w:val="00660A96"/>
    <w:rsid w:val="00665A7E"/>
    <w:rsid w:val="00674AA6"/>
    <w:rsid w:val="006760A4"/>
    <w:rsid w:val="00677848"/>
    <w:rsid w:val="00683774"/>
    <w:rsid w:val="00684C47"/>
    <w:rsid w:val="0069453A"/>
    <w:rsid w:val="00696C90"/>
    <w:rsid w:val="00697EB8"/>
    <w:rsid w:val="006B2B3C"/>
    <w:rsid w:val="006B6A98"/>
    <w:rsid w:val="006B6FCA"/>
    <w:rsid w:val="006C69D0"/>
    <w:rsid w:val="006D05A4"/>
    <w:rsid w:val="006D3990"/>
    <w:rsid w:val="006D4018"/>
    <w:rsid w:val="006E07C5"/>
    <w:rsid w:val="00700FB2"/>
    <w:rsid w:val="00704330"/>
    <w:rsid w:val="007044B5"/>
    <w:rsid w:val="00705A33"/>
    <w:rsid w:val="00706AA8"/>
    <w:rsid w:val="007129DE"/>
    <w:rsid w:val="007171EE"/>
    <w:rsid w:val="00717EAA"/>
    <w:rsid w:val="00721E90"/>
    <w:rsid w:val="00721ECD"/>
    <w:rsid w:val="00731649"/>
    <w:rsid w:val="00734998"/>
    <w:rsid w:val="00741C47"/>
    <w:rsid w:val="0074285F"/>
    <w:rsid w:val="00746ED5"/>
    <w:rsid w:val="0075511E"/>
    <w:rsid w:val="007564F9"/>
    <w:rsid w:val="007575F8"/>
    <w:rsid w:val="00772E3F"/>
    <w:rsid w:val="00776625"/>
    <w:rsid w:val="00776B96"/>
    <w:rsid w:val="00791C6D"/>
    <w:rsid w:val="007A0F33"/>
    <w:rsid w:val="007A0FE8"/>
    <w:rsid w:val="007B36D1"/>
    <w:rsid w:val="007B4354"/>
    <w:rsid w:val="007C08FA"/>
    <w:rsid w:val="007E2280"/>
    <w:rsid w:val="007E485F"/>
    <w:rsid w:val="007F23E3"/>
    <w:rsid w:val="007F46B2"/>
    <w:rsid w:val="007F7AD6"/>
    <w:rsid w:val="00820CA0"/>
    <w:rsid w:val="00831153"/>
    <w:rsid w:val="00833D7A"/>
    <w:rsid w:val="00834A7B"/>
    <w:rsid w:val="008354F0"/>
    <w:rsid w:val="00837794"/>
    <w:rsid w:val="0084492A"/>
    <w:rsid w:val="00847D28"/>
    <w:rsid w:val="00855A40"/>
    <w:rsid w:val="008560B1"/>
    <w:rsid w:val="00857944"/>
    <w:rsid w:val="0086474C"/>
    <w:rsid w:val="00865218"/>
    <w:rsid w:val="00870841"/>
    <w:rsid w:val="00872149"/>
    <w:rsid w:val="00881AC1"/>
    <w:rsid w:val="00881E1C"/>
    <w:rsid w:val="00885628"/>
    <w:rsid w:val="008911CB"/>
    <w:rsid w:val="00892B88"/>
    <w:rsid w:val="00893181"/>
    <w:rsid w:val="008A1825"/>
    <w:rsid w:val="008A6275"/>
    <w:rsid w:val="008C3D59"/>
    <w:rsid w:val="008C3FA8"/>
    <w:rsid w:val="008D2715"/>
    <w:rsid w:val="008E0A4C"/>
    <w:rsid w:val="008E0CAB"/>
    <w:rsid w:val="008E30FB"/>
    <w:rsid w:val="008E7D7D"/>
    <w:rsid w:val="008F01BE"/>
    <w:rsid w:val="008F0AE3"/>
    <w:rsid w:val="008F3401"/>
    <w:rsid w:val="008F7C34"/>
    <w:rsid w:val="009112A3"/>
    <w:rsid w:val="00914C49"/>
    <w:rsid w:val="00916054"/>
    <w:rsid w:val="00917940"/>
    <w:rsid w:val="0092099E"/>
    <w:rsid w:val="00925DA3"/>
    <w:rsid w:val="0092729A"/>
    <w:rsid w:val="0093062B"/>
    <w:rsid w:val="009408EA"/>
    <w:rsid w:val="00942D3D"/>
    <w:rsid w:val="00945620"/>
    <w:rsid w:val="00952A4F"/>
    <w:rsid w:val="00953138"/>
    <w:rsid w:val="009618AE"/>
    <w:rsid w:val="00970C9F"/>
    <w:rsid w:val="00974B59"/>
    <w:rsid w:val="00983FFB"/>
    <w:rsid w:val="0099443C"/>
    <w:rsid w:val="00994A60"/>
    <w:rsid w:val="009A5E51"/>
    <w:rsid w:val="009B170C"/>
    <w:rsid w:val="009B46A3"/>
    <w:rsid w:val="009C6206"/>
    <w:rsid w:val="009C76B9"/>
    <w:rsid w:val="009D0863"/>
    <w:rsid w:val="009D342B"/>
    <w:rsid w:val="009D4CA1"/>
    <w:rsid w:val="009E4F1E"/>
    <w:rsid w:val="009E7302"/>
    <w:rsid w:val="009F6B2C"/>
    <w:rsid w:val="00A03460"/>
    <w:rsid w:val="00A038CB"/>
    <w:rsid w:val="00A150AE"/>
    <w:rsid w:val="00A1685B"/>
    <w:rsid w:val="00A1794D"/>
    <w:rsid w:val="00A21A9E"/>
    <w:rsid w:val="00A2370F"/>
    <w:rsid w:val="00A2531F"/>
    <w:rsid w:val="00A27AA8"/>
    <w:rsid w:val="00A40C50"/>
    <w:rsid w:val="00A410CB"/>
    <w:rsid w:val="00A567FF"/>
    <w:rsid w:val="00A61D05"/>
    <w:rsid w:val="00A64A2A"/>
    <w:rsid w:val="00A64A97"/>
    <w:rsid w:val="00A64D01"/>
    <w:rsid w:val="00A85B4D"/>
    <w:rsid w:val="00A96F7E"/>
    <w:rsid w:val="00AB4053"/>
    <w:rsid w:val="00AB6A54"/>
    <w:rsid w:val="00AC2CF1"/>
    <w:rsid w:val="00AC3D5D"/>
    <w:rsid w:val="00AC516C"/>
    <w:rsid w:val="00AD3997"/>
    <w:rsid w:val="00AD584F"/>
    <w:rsid w:val="00AE0788"/>
    <w:rsid w:val="00B019FF"/>
    <w:rsid w:val="00B044AF"/>
    <w:rsid w:val="00B06115"/>
    <w:rsid w:val="00B12447"/>
    <w:rsid w:val="00B1452C"/>
    <w:rsid w:val="00B1733E"/>
    <w:rsid w:val="00B33683"/>
    <w:rsid w:val="00B428EC"/>
    <w:rsid w:val="00B42DCA"/>
    <w:rsid w:val="00B47335"/>
    <w:rsid w:val="00B5750B"/>
    <w:rsid w:val="00B65C67"/>
    <w:rsid w:val="00B7212D"/>
    <w:rsid w:val="00B84B1E"/>
    <w:rsid w:val="00B855D3"/>
    <w:rsid w:val="00B86CC4"/>
    <w:rsid w:val="00B93E88"/>
    <w:rsid w:val="00B97B9A"/>
    <w:rsid w:val="00B97BB2"/>
    <w:rsid w:val="00BA25BF"/>
    <w:rsid w:val="00BA2B58"/>
    <w:rsid w:val="00BA456B"/>
    <w:rsid w:val="00BA503F"/>
    <w:rsid w:val="00BA6871"/>
    <w:rsid w:val="00BB7210"/>
    <w:rsid w:val="00BB7ADC"/>
    <w:rsid w:val="00BC24EC"/>
    <w:rsid w:val="00BC57D3"/>
    <w:rsid w:val="00BD4451"/>
    <w:rsid w:val="00BD7D6F"/>
    <w:rsid w:val="00BE63BD"/>
    <w:rsid w:val="00BF7B1B"/>
    <w:rsid w:val="00C02088"/>
    <w:rsid w:val="00C022D4"/>
    <w:rsid w:val="00C023CA"/>
    <w:rsid w:val="00C025E7"/>
    <w:rsid w:val="00C03BE2"/>
    <w:rsid w:val="00C06C8F"/>
    <w:rsid w:val="00C109C8"/>
    <w:rsid w:val="00C11B84"/>
    <w:rsid w:val="00C12845"/>
    <w:rsid w:val="00C14CF9"/>
    <w:rsid w:val="00C2083F"/>
    <w:rsid w:val="00C245D3"/>
    <w:rsid w:val="00C25D5E"/>
    <w:rsid w:val="00C42068"/>
    <w:rsid w:val="00C43ECD"/>
    <w:rsid w:val="00C45DAF"/>
    <w:rsid w:val="00C53FA1"/>
    <w:rsid w:val="00C661C9"/>
    <w:rsid w:val="00C70ACC"/>
    <w:rsid w:val="00C84401"/>
    <w:rsid w:val="00C85FCA"/>
    <w:rsid w:val="00C8685A"/>
    <w:rsid w:val="00C9030D"/>
    <w:rsid w:val="00C958E9"/>
    <w:rsid w:val="00CB7F2B"/>
    <w:rsid w:val="00CC5219"/>
    <w:rsid w:val="00CC676A"/>
    <w:rsid w:val="00CD0081"/>
    <w:rsid w:val="00CD6786"/>
    <w:rsid w:val="00CE0347"/>
    <w:rsid w:val="00CF3D10"/>
    <w:rsid w:val="00CF4DC6"/>
    <w:rsid w:val="00D065F6"/>
    <w:rsid w:val="00D13599"/>
    <w:rsid w:val="00D13D66"/>
    <w:rsid w:val="00D17459"/>
    <w:rsid w:val="00D1779C"/>
    <w:rsid w:val="00D17E44"/>
    <w:rsid w:val="00D30FF4"/>
    <w:rsid w:val="00D34859"/>
    <w:rsid w:val="00D34B93"/>
    <w:rsid w:val="00D34DBC"/>
    <w:rsid w:val="00D501D6"/>
    <w:rsid w:val="00D520B9"/>
    <w:rsid w:val="00D5214D"/>
    <w:rsid w:val="00D53852"/>
    <w:rsid w:val="00D538E5"/>
    <w:rsid w:val="00D561E4"/>
    <w:rsid w:val="00D606C2"/>
    <w:rsid w:val="00D63CD1"/>
    <w:rsid w:val="00D7711F"/>
    <w:rsid w:val="00D77629"/>
    <w:rsid w:val="00D815C2"/>
    <w:rsid w:val="00D85579"/>
    <w:rsid w:val="00D92D26"/>
    <w:rsid w:val="00D94E7A"/>
    <w:rsid w:val="00DB01B3"/>
    <w:rsid w:val="00DB35BA"/>
    <w:rsid w:val="00DC627F"/>
    <w:rsid w:val="00DC73D3"/>
    <w:rsid w:val="00DD0307"/>
    <w:rsid w:val="00DD47F3"/>
    <w:rsid w:val="00DE1C45"/>
    <w:rsid w:val="00DE404C"/>
    <w:rsid w:val="00DE40D9"/>
    <w:rsid w:val="00DE4963"/>
    <w:rsid w:val="00DF2320"/>
    <w:rsid w:val="00DF564B"/>
    <w:rsid w:val="00E00707"/>
    <w:rsid w:val="00E01EEC"/>
    <w:rsid w:val="00E05136"/>
    <w:rsid w:val="00E16ACC"/>
    <w:rsid w:val="00E21E71"/>
    <w:rsid w:val="00E2470E"/>
    <w:rsid w:val="00E26C2D"/>
    <w:rsid w:val="00E272DF"/>
    <w:rsid w:val="00E37466"/>
    <w:rsid w:val="00E41657"/>
    <w:rsid w:val="00E432D8"/>
    <w:rsid w:val="00E53329"/>
    <w:rsid w:val="00E5428C"/>
    <w:rsid w:val="00E5675D"/>
    <w:rsid w:val="00E56B2C"/>
    <w:rsid w:val="00E604B8"/>
    <w:rsid w:val="00E61947"/>
    <w:rsid w:val="00E70EE4"/>
    <w:rsid w:val="00E72E87"/>
    <w:rsid w:val="00E777CA"/>
    <w:rsid w:val="00E847A7"/>
    <w:rsid w:val="00E84AE9"/>
    <w:rsid w:val="00E855D8"/>
    <w:rsid w:val="00E93DDC"/>
    <w:rsid w:val="00E9485C"/>
    <w:rsid w:val="00E97B4A"/>
    <w:rsid w:val="00EA284D"/>
    <w:rsid w:val="00EA3E88"/>
    <w:rsid w:val="00EA3FF3"/>
    <w:rsid w:val="00EA61A1"/>
    <w:rsid w:val="00EA7B2D"/>
    <w:rsid w:val="00EB0210"/>
    <w:rsid w:val="00EB1697"/>
    <w:rsid w:val="00EB7BE6"/>
    <w:rsid w:val="00EC293F"/>
    <w:rsid w:val="00EC4140"/>
    <w:rsid w:val="00EC58A8"/>
    <w:rsid w:val="00EC7A1C"/>
    <w:rsid w:val="00EC7C77"/>
    <w:rsid w:val="00ED41BD"/>
    <w:rsid w:val="00ED5FBA"/>
    <w:rsid w:val="00EE0878"/>
    <w:rsid w:val="00EE0E68"/>
    <w:rsid w:val="00EE3083"/>
    <w:rsid w:val="00F0110B"/>
    <w:rsid w:val="00F0582D"/>
    <w:rsid w:val="00F12374"/>
    <w:rsid w:val="00F20946"/>
    <w:rsid w:val="00F2252C"/>
    <w:rsid w:val="00F32E5D"/>
    <w:rsid w:val="00F36C72"/>
    <w:rsid w:val="00F47C0E"/>
    <w:rsid w:val="00F54D82"/>
    <w:rsid w:val="00F570B2"/>
    <w:rsid w:val="00F60A56"/>
    <w:rsid w:val="00F63483"/>
    <w:rsid w:val="00F769A4"/>
    <w:rsid w:val="00F76A95"/>
    <w:rsid w:val="00F77DB4"/>
    <w:rsid w:val="00F824A2"/>
    <w:rsid w:val="00F955E7"/>
    <w:rsid w:val="00FA3A60"/>
    <w:rsid w:val="00FA4E90"/>
    <w:rsid w:val="00FB2251"/>
    <w:rsid w:val="00FB324B"/>
    <w:rsid w:val="00FB3546"/>
    <w:rsid w:val="00FC252B"/>
    <w:rsid w:val="00FC452B"/>
    <w:rsid w:val="00FC63EF"/>
    <w:rsid w:val="00FD254A"/>
    <w:rsid w:val="00FD3966"/>
    <w:rsid w:val="00FD5D2E"/>
    <w:rsid w:val="00FD71A3"/>
    <w:rsid w:val="00FE6630"/>
    <w:rsid w:val="00FF5E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9AD5"/>
  <w15:chartTrackingRefBased/>
  <w15:docId w15:val="{D4202737-8BC4-4297-BE8C-CC368B16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E4"/>
    <w:pPr>
      <w:ind w:left="720"/>
      <w:contextualSpacing/>
    </w:pPr>
  </w:style>
  <w:style w:type="character" w:styleId="Hyperlink">
    <w:name w:val="Hyperlink"/>
    <w:basedOn w:val="DefaultParagraphFont"/>
    <w:uiPriority w:val="99"/>
    <w:unhideWhenUsed/>
    <w:rsid w:val="00FD5D2E"/>
    <w:rPr>
      <w:color w:val="0563C1" w:themeColor="hyperlink"/>
      <w:u w:val="single"/>
    </w:rPr>
  </w:style>
  <w:style w:type="character" w:styleId="UnresolvedMention">
    <w:name w:val="Unresolved Mention"/>
    <w:basedOn w:val="DefaultParagraphFont"/>
    <w:uiPriority w:val="99"/>
    <w:semiHidden/>
    <w:unhideWhenUsed/>
    <w:rsid w:val="00FD5D2E"/>
    <w:rPr>
      <w:color w:val="605E5C"/>
      <w:shd w:val="clear" w:color="auto" w:fill="E1DFDD"/>
    </w:rPr>
  </w:style>
  <w:style w:type="paragraph" w:styleId="EndnoteText">
    <w:name w:val="endnote text"/>
    <w:basedOn w:val="Normal"/>
    <w:link w:val="EndnoteTextChar"/>
    <w:uiPriority w:val="99"/>
    <w:semiHidden/>
    <w:unhideWhenUsed/>
    <w:rsid w:val="003B51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5191"/>
    <w:rPr>
      <w:sz w:val="20"/>
      <w:szCs w:val="20"/>
    </w:rPr>
  </w:style>
  <w:style w:type="character" w:styleId="EndnoteReference">
    <w:name w:val="endnote reference"/>
    <w:basedOn w:val="DefaultParagraphFont"/>
    <w:uiPriority w:val="99"/>
    <w:semiHidden/>
    <w:unhideWhenUsed/>
    <w:rsid w:val="003B5191"/>
    <w:rPr>
      <w:vertAlign w:val="superscript"/>
    </w:rPr>
  </w:style>
  <w:style w:type="paragraph" w:styleId="FootnoteText">
    <w:name w:val="footnote text"/>
    <w:basedOn w:val="Normal"/>
    <w:link w:val="FootnoteTextChar"/>
    <w:uiPriority w:val="99"/>
    <w:semiHidden/>
    <w:unhideWhenUsed/>
    <w:rsid w:val="003B5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191"/>
    <w:rPr>
      <w:sz w:val="20"/>
      <w:szCs w:val="20"/>
    </w:rPr>
  </w:style>
  <w:style w:type="character" w:styleId="FootnoteReference">
    <w:name w:val="footnote reference"/>
    <w:basedOn w:val="DefaultParagraphFont"/>
    <w:uiPriority w:val="99"/>
    <w:semiHidden/>
    <w:unhideWhenUsed/>
    <w:rsid w:val="003B5191"/>
    <w:rPr>
      <w:vertAlign w:val="superscript"/>
    </w:rPr>
  </w:style>
  <w:style w:type="character" w:styleId="FollowedHyperlink">
    <w:name w:val="FollowedHyperlink"/>
    <w:basedOn w:val="DefaultParagraphFont"/>
    <w:uiPriority w:val="99"/>
    <w:semiHidden/>
    <w:unhideWhenUsed/>
    <w:rsid w:val="00655798"/>
    <w:rPr>
      <w:color w:val="954F72" w:themeColor="followedHyperlink"/>
      <w:u w:val="single"/>
    </w:rPr>
  </w:style>
  <w:style w:type="table" w:styleId="TableGrid">
    <w:name w:val="Table Grid"/>
    <w:basedOn w:val="TableNormal"/>
    <w:uiPriority w:val="39"/>
    <w:rsid w:val="0030484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63D"/>
    <w:rPr>
      <w:sz w:val="16"/>
      <w:szCs w:val="16"/>
    </w:rPr>
  </w:style>
  <w:style w:type="paragraph" w:styleId="CommentText">
    <w:name w:val="annotation text"/>
    <w:basedOn w:val="Normal"/>
    <w:link w:val="CommentTextChar"/>
    <w:uiPriority w:val="99"/>
    <w:unhideWhenUsed/>
    <w:rsid w:val="0037163D"/>
    <w:pPr>
      <w:spacing w:line="240" w:lineRule="auto"/>
    </w:pPr>
    <w:rPr>
      <w:sz w:val="20"/>
      <w:szCs w:val="20"/>
    </w:rPr>
  </w:style>
  <w:style w:type="character" w:customStyle="1" w:styleId="CommentTextChar">
    <w:name w:val="Comment Text Char"/>
    <w:basedOn w:val="DefaultParagraphFont"/>
    <w:link w:val="CommentText"/>
    <w:uiPriority w:val="99"/>
    <w:rsid w:val="0037163D"/>
    <w:rPr>
      <w:sz w:val="20"/>
      <w:szCs w:val="20"/>
    </w:rPr>
  </w:style>
  <w:style w:type="paragraph" w:styleId="CommentSubject">
    <w:name w:val="annotation subject"/>
    <w:basedOn w:val="CommentText"/>
    <w:next w:val="CommentText"/>
    <w:link w:val="CommentSubjectChar"/>
    <w:uiPriority w:val="99"/>
    <w:semiHidden/>
    <w:unhideWhenUsed/>
    <w:rsid w:val="0037163D"/>
    <w:rPr>
      <w:b/>
      <w:bCs/>
    </w:rPr>
  </w:style>
  <w:style w:type="character" w:customStyle="1" w:styleId="CommentSubjectChar">
    <w:name w:val="Comment Subject Char"/>
    <w:basedOn w:val="CommentTextChar"/>
    <w:link w:val="CommentSubject"/>
    <w:uiPriority w:val="99"/>
    <w:semiHidden/>
    <w:rsid w:val="0037163D"/>
    <w:rPr>
      <w:b/>
      <w:bCs/>
      <w:sz w:val="20"/>
      <w:szCs w:val="20"/>
    </w:rPr>
  </w:style>
  <w:style w:type="paragraph" w:styleId="Header">
    <w:name w:val="header"/>
    <w:basedOn w:val="Normal"/>
    <w:link w:val="HeaderChar"/>
    <w:uiPriority w:val="99"/>
    <w:unhideWhenUsed/>
    <w:rsid w:val="001C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7CF"/>
  </w:style>
  <w:style w:type="paragraph" w:styleId="Footer">
    <w:name w:val="footer"/>
    <w:basedOn w:val="Normal"/>
    <w:link w:val="FooterChar"/>
    <w:uiPriority w:val="99"/>
    <w:unhideWhenUsed/>
    <w:rsid w:val="001C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9269">
      <w:bodyDiv w:val="1"/>
      <w:marLeft w:val="0"/>
      <w:marRight w:val="0"/>
      <w:marTop w:val="0"/>
      <w:marBottom w:val="0"/>
      <w:divBdr>
        <w:top w:val="none" w:sz="0" w:space="0" w:color="auto"/>
        <w:left w:val="none" w:sz="0" w:space="0" w:color="auto"/>
        <w:bottom w:val="none" w:sz="0" w:space="0" w:color="auto"/>
        <w:right w:val="none" w:sz="0" w:space="0" w:color="auto"/>
      </w:divBdr>
    </w:div>
    <w:div w:id="483132758">
      <w:bodyDiv w:val="1"/>
      <w:marLeft w:val="0"/>
      <w:marRight w:val="0"/>
      <w:marTop w:val="0"/>
      <w:marBottom w:val="0"/>
      <w:divBdr>
        <w:top w:val="none" w:sz="0" w:space="0" w:color="auto"/>
        <w:left w:val="none" w:sz="0" w:space="0" w:color="auto"/>
        <w:bottom w:val="none" w:sz="0" w:space="0" w:color="auto"/>
        <w:right w:val="none" w:sz="0" w:space="0" w:color="auto"/>
      </w:divBdr>
    </w:div>
    <w:div w:id="187657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and-innovation.ec.europa.eu/strategy/strategy-2020-2024/our-digital-future/open-science_en" TargetMode="External"/><Relationship Id="rId13" Type="http://schemas.openxmlformats.org/officeDocument/2006/relationships/hyperlink" Target="https://www.gov.ie/en/publication/fe984-national-framework-on-the-transition-to-an-open-research-enviro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ie/nor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MITHS49\Downloads\&#8226;%09https:\european-research-area.ec.europa.eu\policy-agenda-2022-2024\deepening-truly-functioning-internal-market-knowled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europa.eu/en/web/eu-law-and-publications/publication-detail/-/publication/9570017e-cd82-11eb-ac72-01aa75ed71a1" TargetMode="External"/><Relationship Id="rId4" Type="http://schemas.openxmlformats.org/officeDocument/2006/relationships/settings" Target="settings.xml"/><Relationship Id="rId9" Type="http://schemas.openxmlformats.org/officeDocument/2006/relationships/hyperlink" Target="https://openscience.eu/Open-Science-in-Horizon-Europe" TargetMode="External"/><Relationship Id="rId14" Type="http://schemas.openxmlformats.org/officeDocument/2006/relationships/hyperlink" Target="https://www.gov.ie/en/press-release/ee30d-minister-harris-launches-national-action-plan-for-open-resear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ara.eu/app/uploads/2022/09/2022_07_19_rra_agreement_final.pdf" TargetMode="External"/><Relationship Id="rId2" Type="http://schemas.openxmlformats.org/officeDocument/2006/relationships/hyperlink" Target="https://sfdora.org/read/" TargetMode="External"/><Relationship Id="rId1" Type="http://schemas.openxmlformats.org/officeDocument/2006/relationships/hyperlink" Target="https://eur-lex.europa.eu/legal-content/EN/TXT/PDF/?uri=CELEX:32018H0790" TargetMode="External"/><Relationship Id="rId6" Type="http://schemas.openxmlformats.org/officeDocument/2006/relationships/hyperlink" Target="https://recognitionrewardsmagazine.nl/2023/room-for-everyones-talent-in-practice/" TargetMode="External"/><Relationship Id="rId5" Type="http://schemas.openxmlformats.org/officeDocument/2006/relationships/hyperlink" Target="https://doi.org/10.1007/978-94-024-2115-6" TargetMode="External"/><Relationship Id="rId4" Type="http://schemas.openxmlformats.org/officeDocument/2006/relationships/hyperlink" Target="https://www.canva.com/design/DAGA1LPuebE/rFoTLZaKVBD4Cm66jyzs-Q/view?utm_content=DAGA1LPuebE&amp;utm_campaign=designshare&amp;utm_medium=link&amp;utm_source=e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D1EA-E459-41C9-BF73-3C51851A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Impens</dc:creator>
  <cp:keywords/>
  <dc:description/>
  <cp:lastModifiedBy>Sally Smith</cp:lastModifiedBy>
  <cp:revision>2</cp:revision>
  <dcterms:created xsi:type="dcterms:W3CDTF">2024-11-11T08:44:00Z</dcterms:created>
  <dcterms:modified xsi:type="dcterms:W3CDTF">2024-11-11T08:44:00Z</dcterms:modified>
</cp:coreProperties>
</file>