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362A4" w14:textId="0F089A8F" w:rsidR="005D7389" w:rsidRDefault="00B96028" w:rsidP="005D7389">
      <w:pPr>
        <w:spacing w:line="276" w:lineRule="auto"/>
        <w:rPr>
          <w:b/>
          <w:bCs/>
          <w:sz w:val="28"/>
          <w:szCs w:val="28"/>
          <w:u w:val="single"/>
        </w:rPr>
      </w:pPr>
      <w:r w:rsidRPr="00A33383">
        <w:rPr>
          <w:b/>
          <w:bCs/>
          <w:sz w:val="28"/>
          <w:szCs w:val="28"/>
          <w:u w:val="single"/>
        </w:rPr>
        <w:t>HI2105</w:t>
      </w:r>
      <w:r>
        <w:rPr>
          <w:b/>
          <w:bCs/>
          <w:sz w:val="28"/>
          <w:szCs w:val="28"/>
          <w:u w:val="single"/>
        </w:rPr>
        <w:t xml:space="preserve"> </w:t>
      </w:r>
      <w:r w:rsidRPr="00E00CAE">
        <w:rPr>
          <w:b/>
          <w:bCs/>
          <w:sz w:val="28"/>
          <w:szCs w:val="28"/>
          <w:u w:val="single"/>
        </w:rPr>
        <w:t>Case Studies in Research Skills and Historiography</w:t>
      </w:r>
      <w:r>
        <w:rPr>
          <w:b/>
          <w:bCs/>
          <w:sz w:val="28"/>
          <w:szCs w:val="28"/>
          <w:u w:val="single"/>
        </w:rPr>
        <w:t xml:space="preserve"> - </w:t>
      </w:r>
      <w:r w:rsidRPr="00A33383">
        <w:rPr>
          <w:b/>
          <w:bCs/>
          <w:sz w:val="28"/>
          <w:szCs w:val="28"/>
          <w:u w:val="single"/>
        </w:rPr>
        <w:t>2</w:t>
      </w:r>
      <w:r>
        <w:rPr>
          <w:b/>
          <w:bCs/>
          <w:sz w:val="28"/>
          <w:szCs w:val="28"/>
          <w:u w:val="single"/>
        </w:rPr>
        <w:t>4</w:t>
      </w:r>
      <w:r w:rsidRPr="00A33383">
        <w:rPr>
          <w:b/>
          <w:bCs/>
          <w:sz w:val="28"/>
          <w:szCs w:val="28"/>
          <w:u w:val="single"/>
        </w:rPr>
        <w:t>/2</w:t>
      </w:r>
      <w:r>
        <w:rPr>
          <w:b/>
          <w:bCs/>
          <w:sz w:val="28"/>
          <w:szCs w:val="28"/>
          <w:u w:val="single"/>
        </w:rPr>
        <w:t>5</w:t>
      </w:r>
      <w:r w:rsidRPr="00A33383">
        <w:rPr>
          <w:b/>
          <w:bCs/>
          <w:sz w:val="28"/>
          <w:szCs w:val="28"/>
          <w:u w:val="single"/>
        </w:rPr>
        <w:t xml:space="preserve"> – Semester </w:t>
      </w:r>
      <w:r>
        <w:rPr>
          <w:b/>
          <w:bCs/>
          <w:sz w:val="28"/>
          <w:szCs w:val="28"/>
          <w:u w:val="single"/>
        </w:rPr>
        <w:t>Two</w:t>
      </w:r>
    </w:p>
    <w:p w14:paraId="6C529B49" w14:textId="2A52ED0B" w:rsidR="007771B6" w:rsidRPr="00A8322D" w:rsidRDefault="00D76389" w:rsidP="002E2D7E">
      <w:pPr>
        <w:jc w:val="both"/>
        <w:rPr>
          <w:rFonts w:cstheme="minorHAnsi"/>
          <w:b/>
          <w:bCs/>
          <w:i/>
          <w:iCs/>
          <w:color w:val="0070C0"/>
        </w:rPr>
      </w:pPr>
      <w:r w:rsidRPr="005E2DE4">
        <w:rPr>
          <w:b/>
          <w:bCs/>
        </w:rPr>
        <w:t xml:space="preserve">NOTE: </w:t>
      </w:r>
      <w:r w:rsidR="00783DCD" w:rsidRPr="00783DCD">
        <w:rPr>
          <w:rFonts w:cstheme="minorHAnsi"/>
          <w:i/>
          <w:iCs/>
          <w:color w:val="0070C0"/>
          <w:u w:val="single"/>
        </w:rPr>
        <w:t>The structure of second year in general, and of the Case Study in particular, will be discussed</w:t>
      </w:r>
      <w:r w:rsidR="00783DCD" w:rsidRPr="00783DCD">
        <w:rPr>
          <w:rFonts w:cstheme="minorHAnsi"/>
          <w:i/>
          <w:iCs/>
          <w:color w:val="0070C0"/>
        </w:rPr>
        <w:t xml:space="preserve"> in the first lecture of the core survey module HI2110 (Sex, Gender and Power in History). That lecture occurs in </w:t>
      </w:r>
      <w:r w:rsidR="00783DCD" w:rsidRPr="00783DCD">
        <w:rPr>
          <w:rFonts w:cstheme="minorHAnsi"/>
          <w:b/>
          <w:bCs/>
          <w:i/>
          <w:iCs/>
          <w:color w:val="0070C0"/>
          <w:u w:val="single"/>
        </w:rPr>
        <w:t>BOOLE_2 from 2 - 3 pm on Tuesday, 10 September 2024</w:t>
      </w:r>
      <w:r w:rsidR="00783DCD" w:rsidRPr="00783DCD">
        <w:rPr>
          <w:rFonts w:cstheme="minorHAnsi"/>
          <w:b/>
          <w:bCs/>
          <w:i/>
          <w:iCs/>
          <w:color w:val="0070C0"/>
        </w:rPr>
        <w:t>.</w:t>
      </w:r>
      <w:r w:rsidR="00783DCD" w:rsidRPr="00783DCD">
        <w:rPr>
          <w:rFonts w:cstheme="minorHAnsi"/>
          <w:i/>
          <w:iCs/>
          <w:color w:val="0070C0"/>
        </w:rPr>
        <w:t xml:space="preserve"> The registration process for the Case Studies (all of which take place in second semester) will be explained in this class, but the registration itself will not take place until later in first semester, on a date to be confirmed in due course</w:t>
      </w:r>
      <w:r w:rsidR="00783DCD" w:rsidRPr="00783DCD">
        <w:rPr>
          <w:rFonts w:cstheme="minorHAnsi"/>
          <w:b/>
          <w:bCs/>
          <w:i/>
          <w:iCs/>
          <w:color w:val="0070C0"/>
        </w:rPr>
        <w:t>.</w:t>
      </w:r>
    </w:p>
    <w:p w14:paraId="57E3A86B" w14:textId="5E678603" w:rsidR="00E3234E" w:rsidRPr="00D62CFA" w:rsidRDefault="00E3234E" w:rsidP="00E3234E">
      <w:pPr>
        <w:pStyle w:val="ListParagraph"/>
        <w:numPr>
          <w:ilvl w:val="0"/>
          <w:numId w:val="1"/>
        </w:numPr>
        <w:spacing w:line="276" w:lineRule="auto"/>
      </w:pPr>
      <w:r w:rsidRPr="00D62CFA">
        <w:rPr>
          <w:b/>
          <w:bCs/>
          <w:i/>
          <w:iCs/>
        </w:rPr>
        <w:t>Mr Rory O’Dwyer</w:t>
      </w:r>
      <w:r w:rsidRPr="00D62CFA">
        <w:t xml:space="preserve"> - The 1916 Rising: Historiography and Commemoration</w:t>
      </w:r>
      <w:r w:rsidR="00A61820">
        <w:t>.</w:t>
      </w:r>
      <w:r w:rsidRPr="00D62CFA">
        <w:rPr>
          <w:noProof/>
        </w:rPr>
        <w:drawing>
          <wp:inline distT="0" distB="0" distL="0" distR="0" wp14:anchorId="1509E995" wp14:editId="2F9B3571">
            <wp:extent cx="2752725" cy="186502"/>
            <wp:effectExtent l="0" t="0" r="0" b="4445"/>
            <wp:docPr id="558412226" name="Picture 558412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5527" cy="195500"/>
                    </a:xfrm>
                    <a:prstGeom prst="rect">
                      <a:avLst/>
                    </a:prstGeom>
                    <a:noFill/>
                    <a:ln>
                      <a:noFill/>
                    </a:ln>
                  </pic:spPr>
                </pic:pic>
              </a:graphicData>
            </a:graphic>
          </wp:inline>
        </w:drawing>
      </w:r>
    </w:p>
    <w:p w14:paraId="12EBF911" w14:textId="77777777" w:rsidR="00B96028" w:rsidRPr="00D62CFA" w:rsidRDefault="00B96028" w:rsidP="00B96028">
      <w:pPr>
        <w:pStyle w:val="ListParagraph"/>
        <w:numPr>
          <w:ilvl w:val="0"/>
          <w:numId w:val="1"/>
        </w:numPr>
        <w:spacing w:line="276" w:lineRule="auto"/>
      </w:pPr>
      <w:r w:rsidRPr="00D62CFA">
        <w:rPr>
          <w:b/>
          <w:bCs/>
          <w:i/>
          <w:iCs/>
        </w:rPr>
        <w:t>Dr Diarmuid Scully</w:t>
      </w:r>
      <w:r w:rsidRPr="00D62CFA">
        <w:t xml:space="preserve"> - LGBT Identities in Modern Ireland: Sources, Contexts, Interpretations.</w:t>
      </w:r>
    </w:p>
    <w:p w14:paraId="01BEAE5D" w14:textId="34008AB7" w:rsidR="00B96028" w:rsidRPr="00312FAD" w:rsidRDefault="00B96028" w:rsidP="0025785A">
      <w:pPr>
        <w:pStyle w:val="ListParagraph"/>
        <w:spacing w:line="276" w:lineRule="auto"/>
        <w:rPr>
          <w:i/>
          <w:iCs/>
          <w:color w:val="FF0000"/>
        </w:rPr>
      </w:pPr>
      <w:r w:rsidRPr="007C65CC">
        <w:rPr>
          <w:noProof/>
          <w:color w:val="FF0000"/>
        </w:rPr>
        <w:drawing>
          <wp:inline distT="0" distB="0" distL="0" distR="0" wp14:anchorId="2365A76F" wp14:editId="2F95ED99">
            <wp:extent cx="2981325" cy="201992"/>
            <wp:effectExtent l="0" t="0" r="0" b="7620"/>
            <wp:docPr id="819671364" name="Picture 81967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8123" cy="207873"/>
                    </a:xfrm>
                    <a:prstGeom prst="rect">
                      <a:avLst/>
                    </a:prstGeom>
                    <a:noFill/>
                    <a:ln>
                      <a:noFill/>
                    </a:ln>
                  </pic:spPr>
                </pic:pic>
              </a:graphicData>
            </a:graphic>
          </wp:inline>
        </w:drawing>
      </w:r>
      <w:r w:rsidR="0025785A" w:rsidRPr="007C65CC">
        <w:rPr>
          <w:color w:val="FF0000"/>
        </w:rPr>
        <w:t xml:space="preserve"> </w:t>
      </w:r>
    </w:p>
    <w:p w14:paraId="0B33C735" w14:textId="77777777" w:rsidR="00B96028" w:rsidRPr="00D62CFA" w:rsidRDefault="00B96028" w:rsidP="00B96028">
      <w:pPr>
        <w:pStyle w:val="ListParagraph"/>
        <w:numPr>
          <w:ilvl w:val="0"/>
          <w:numId w:val="1"/>
        </w:numPr>
      </w:pPr>
      <w:r w:rsidRPr="00D62CFA">
        <w:rPr>
          <w:b/>
          <w:bCs/>
          <w:i/>
          <w:iCs/>
        </w:rPr>
        <w:t>Dr Detmar Klein</w:t>
      </w:r>
      <w:r w:rsidRPr="00D62CFA">
        <w:t xml:space="preserve"> - Being Jewish in Nazi Germany: the Diaries of Victor Klemperer.</w:t>
      </w:r>
    </w:p>
    <w:p w14:paraId="5C6DF02E" w14:textId="2064117E" w:rsidR="00B96028" w:rsidRPr="00D62CFA" w:rsidRDefault="00D922A8" w:rsidP="00B96028">
      <w:pPr>
        <w:pStyle w:val="ListParagraph"/>
      </w:pPr>
      <w:r w:rsidRPr="00D922A8">
        <w:rPr>
          <w:noProof/>
        </w:rPr>
        <w:drawing>
          <wp:inline distT="0" distB="0" distL="0" distR="0" wp14:anchorId="76B1F816" wp14:editId="003C3258">
            <wp:extent cx="3562350" cy="190500"/>
            <wp:effectExtent l="0" t="0" r="0" b="0"/>
            <wp:docPr id="6928919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2350" cy="190500"/>
                    </a:xfrm>
                    <a:prstGeom prst="rect">
                      <a:avLst/>
                    </a:prstGeom>
                    <a:noFill/>
                    <a:ln>
                      <a:noFill/>
                    </a:ln>
                  </pic:spPr>
                </pic:pic>
              </a:graphicData>
            </a:graphic>
          </wp:inline>
        </w:drawing>
      </w:r>
    </w:p>
    <w:p w14:paraId="272EFEB8" w14:textId="77777777" w:rsidR="00B96028" w:rsidRPr="002B4A6C" w:rsidRDefault="00B96028" w:rsidP="00B96028">
      <w:pPr>
        <w:pStyle w:val="ListParagraph"/>
        <w:numPr>
          <w:ilvl w:val="0"/>
          <w:numId w:val="1"/>
        </w:numPr>
        <w:spacing w:line="276" w:lineRule="auto"/>
      </w:pPr>
      <w:r w:rsidRPr="00D62CFA">
        <w:rPr>
          <w:b/>
          <w:bCs/>
          <w:i/>
          <w:iCs/>
        </w:rPr>
        <w:t xml:space="preserve">Dr Malgorzata Krasnodebska - D'Aughton </w:t>
      </w:r>
      <w:r w:rsidRPr="00D62CFA">
        <w:rPr>
          <w:b/>
          <w:bCs/>
        </w:rPr>
        <w:t xml:space="preserve">– </w:t>
      </w:r>
      <w:r w:rsidRPr="002B4A6C">
        <w:t>C. Ó Clabaigh, The Franciscans in Ireland 1400-1534. From Reform to Reformation, Dublin 2002.</w:t>
      </w:r>
    </w:p>
    <w:p w14:paraId="50EE9798" w14:textId="09B98AB2" w:rsidR="00B96028" w:rsidRPr="00D62CFA" w:rsidRDefault="004F4A9E" w:rsidP="00B96028">
      <w:pPr>
        <w:pStyle w:val="ListParagraph"/>
        <w:spacing w:line="276" w:lineRule="auto"/>
        <w:rPr>
          <w:b/>
          <w:bCs/>
        </w:rPr>
      </w:pPr>
      <w:r w:rsidRPr="00D62CFA">
        <w:rPr>
          <w:noProof/>
        </w:rPr>
        <w:drawing>
          <wp:inline distT="0" distB="0" distL="0" distR="0" wp14:anchorId="6BE0E3FC" wp14:editId="2F5B353D">
            <wp:extent cx="2762251" cy="200025"/>
            <wp:effectExtent l="0" t="0" r="0" b="9525"/>
            <wp:docPr id="675398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8139" cy="201176"/>
                    </a:xfrm>
                    <a:prstGeom prst="rect">
                      <a:avLst/>
                    </a:prstGeom>
                    <a:noFill/>
                    <a:ln>
                      <a:noFill/>
                    </a:ln>
                  </pic:spPr>
                </pic:pic>
              </a:graphicData>
            </a:graphic>
          </wp:inline>
        </w:drawing>
      </w:r>
    </w:p>
    <w:p w14:paraId="7DA78290" w14:textId="6D687346" w:rsidR="00FF0CAE" w:rsidRPr="00D62CFA" w:rsidRDefault="00B96028" w:rsidP="00FF0CAE">
      <w:pPr>
        <w:pStyle w:val="ListParagraph"/>
        <w:numPr>
          <w:ilvl w:val="0"/>
          <w:numId w:val="1"/>
        </w:numPr>
        <w:spacing w:line="276" w:lineRule="auto"/>
        <w:rPr>
          <w:b/>
          <w:bCs/>
        </w:rPr>
      </w:pPr>
      <w:r w:rsidRPr="00D62CFA">
        <w:rPr>
          <w:b/>
          <w:bCs/>
          <w:i/>
          <w:iCs/>
        </w:rPr>
        <w:t>Dr Lusine Margaryan</w:t>
      </w:r>
      <w:r w:rsidRPr="00D62CFA">
        <w:rPr>
          <w:b/>
          <w:bCs/>
        </w:rPr>
        <w:t xml:space="preserve"> – </w:t>
      </w:r>
      <w:r w:rsidRPr="00D62CFA">
        <w:t>Life and Power in the Byzantine empire.</w:t>
      </w:r>
    </w:p>
    <w:p w14:paraId="1E4C83D7" w14:textId="77777777" w:rsidR="00B96028" w:rsidRPr="00D62CFA" w:rsidRDefault="00B96028" w:rsidP="00B96028">
      <w:pPr>
        <w:pStyle w:val="ListParagraph"/>
        <w:spacing w:line="276" w:lineRule="auto"/>
        <w:rPr>
          <w:b/>
          <w:bCs/>
        </w:rPr>
      </w:pPr>
      <w:r w:rsidRPr="00D62CFA">
        <w:rPr>
          <w:noProof/>
        </w:rPr>
        <w:drawing>
          <wp:inline distT="0" distB="0" distL="0" distR="0" wp14:anchorId="78AB3311" wp14:editId="47EA1ECE">
            <wp:extent cx="3092888" cy="209550"/>
            <wp:effectExtent l="0" t="0" r="0" b="0"/>
            <wp:docPr id="955588200" name="Picture 955588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7425" cy="213923"/>
                    </a:xfrm>
                    <a:prstGeom prst="rect">
                      <a:avLst/>
                    </a:prstGeom>
                    <a:noFill/>
                    <a:ln>
                      <a:noFill/>
                    </a:ln>
                  </pic:spPr>
                </pic:pic>
              </a:graphicData>
            </a:graphic>
          </wp:inline>
        </w:drawing>
      </w:r>
    </w:p>
    <w:p w14:paraId="786A9FA6" w14:textId="5E316205" w:rsidR="00B96028" w:rsidRPr="00D62CFA" w:rsidRDefault="00B96028" w:rsidP="00B96028">
      <w:pPr>
        <w:pStyle w:val="ListParagraph"/>
        <w:numPr>
          <w:ilvl w:val="0"/>
          <w:numId w:val="1"/>
        </w:numPr>
        <w:spacing w:line="276" w:lineRule="auto"/>
      </w:pPr>
      <w:r w:rsidRPr="00D62CFA">
        <w:rPr>
          <w:b/>
          <w:bCs/>
          <w:i/>
          <w:iCs/>
        </w:rPr>
        <w:t xml:space="preserve">Dr </w:t>
      </w:r>
      <w:r w:rsidR="005D7389" w:rsidRPr="00D62CFA">
        <w:rPr>
          <w:b/>
          <w:bCs/>
          <w:i/>
          <w:iCs/>
        </w:rPr>
        <w:t>Meave O’Riordan</w:t>
      </w:r>
      <w:r w:rsidRPr="00D62CFA">
        <w:rPr>
          <w:b/>
          <w:bCs/>
        </w:rPr>
        <w:t>–</w:t>
      </w:r>
      <w:r w:rsidR="008D16CA" w:rsidRPr="008D16CA">
        <w:t xml:space="preserve"> </w:t>
      </w:r>
      <w:r w:rsidR="008D16CA">
        <w:t>‘</w:t>
      </w:r>
      <w:r w:rsidR="008D16CA" w:rsidRPr="008D16CA">
        <w:t>Researching the Big House and its people..</w:t>
      </w:r>
      <w:r w:rsidRPr="00D62CFA">
        <w:t xml:space="preserve">.’ </w:t>
      </w:r>
    </w:p>
    <w:p w14:paraId="2D7BADA0" w14:textId="42986632" w:rsidR="00B96028" w:rsidRPr="007771B6" w:rsidRDefault="005B626D" w:rsidP="00B96028">
      <w:pPr>
        <w:pStyle w:val="ListParagraph"/>
        <w:spacing w:line="276" w:lineRule="auto"/>
        <w:rPr>
          <w:b/>
          <w:bCs/>
          <w:i/>
          <w:iCs/>
          <w:sz w:val="20"/>
          <w:szCs w:val="20"/>
        </w:rPr>
      </w:pPr>
      <w:r w:rsidRPr="007C65CC">
        <w:rPr>
          <w:b/>
          <w:bCs/>
        </w:rPr>
        <w:t xml:space="preserve"> </w:t>
      </w:r>
      <w:r w:rsidR="00C80ABB" w:rsidRPr="00C80ABB">
        <w:rPr>
          <w:noProof/>
        </w:rPr>
        <w:drawing>
          <wp:inline distT="0" distB="0" distL="0" distR="0" wp14:anchorId="2644574B" wp14:editId="100C4AA5">
            <wp:extent cx="3209925" cy="190500"/>
            <wp:effectExtent l="0" t="0" r="9525" b="0"/>
            <wp:docPr id="1047025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9925" cy="190500"/>
                    </a:xfrm>
                    <a:prstGeom prst="rect">
                      <a:avLst/>
                    </a:prstGeom>
                    <a:noFill/>
                    <a:ln>
                      <a:noFill/>
                    </a:ln>
                  </pic:spPr>
                </pic:pic>
              </a:graphicData>
            </a:graphic>
          </wp:inline>
        </w:drawing>
      </w:r>
    </w:p>
    <w:p w14:paraId="4CB1E429" w14:textId="4683C298" w:rsidR="00376F33" w:rsidRPr="00376F33" w:rsidRDefault="004C2662" w:rsidP="00376F33">
      <w:pPr>
        <w:pStyle w:val="ListParagraph"/>
        <w:numPr>
          <w:ilvl w:val="0"/>
          <w:numId w:val="1"/>
        </w:numPr>
        <w:spacing w:line="276" w:lineRule="auto"/>
        <w:rPr>
          <w:b/>
          <w:bCs/>
        </w:rPr>
      </w:pPr>
      <w:r w:rsidRPr="006A41A4">
        <w:rPr>
          <w:b/>
          <w:bCs/>
          <w:i/>
          <w:iCs/>
        </w:rPr>
        <w:t>*</w:t>
      </w:r>
      <w:r w:rsidR="00B96028" w:rsidRPr="006A41A4">
        <w:rPr>
          <w:b/>
          <w:bCs/>
          <w:i/>
          <w:iCs/>
        </w:rPr>
        <w:t xml:space="preserve">Dr Eugene Costello </w:t>
      </w:r>
      <w:r w:rsidR="00350FF7" w:rsidRPr="006A41A4">
        <w:rPr>
          <w:b/>
          <w:bCs/>
          <w:i/>
          <w:iCs/>
        </w:rPr>
        <w:t>&amp; Dr David Edwards</w:t>
      </w:r>
      <w:r w:rsidR="00350FF7" w:rsidRPr="006A41A4">
        <w:rPr>
          <w:b/>
          <w:bCs/>
        </w:rPr>
        <w:t xml:space="preserve"> </w:t>
      </w:r>
      <w:r w:rsidR="00B96028" w:rsidRPr="006A41A4">
        <w:rPr>
          <w:b/>
          <w:bCs/>
        </w:rPr>
        <w:t xml:space="preserve">– </w:t>
      </w:r>
      <w:r w:rsidR="004E768A" w:rsidRPr="004E768A">
        <w:t>'Climate change, Ireland and the early modern Atlantic'</w:t>
      </w:r>
      <w:r w:rsidR="00B96028" w:rsidRPr="006A41A4">
        <w:t>.</w:t>
      </w:r>
      <w:r w:rsidRPr="006A41A4">
        <w:t xml:space="preserve"> </w:t>
      </w:r>
      <w:r w:rsidR="007528D0">
        <w:t>*</w:t>
      </w:r>
      <w:r w:rsidR="00312FAD" w:rsidRPr="004950D3">
        <w:rPr>
          <w:color w:val="0070C0"/>
          <w:u w:val="single"/>
        </w:rPr>
        <w:t>NOTE: 2 supervisors with larger student quota.</w:t>
      </w:r>
    </w:p>
    <w:p w14:paraId="5EB195C1" w14:textId="49EB3A40" w:rsidR="005C5C3B" w:rsidRPr="00B02068" w:rsidRDefault="00376F33" w:rsidP="00B02068">
      <w:pPr>
        <w:pStyle w:val="ListParagraph"/>
        <w:spacing w:line="276" w:lineRule="auto"/>
        <w:rPr>
          <w:b/>
          <w:bCs/>
        </w:rPr>
      </w:pPr>
      <w:r w:rsidRPr="007C65CC">
        <w:rPr>
          <w:noProof/>
        </w:rPr>
        <w:drawing>
          <wp:inline distT="0" distB="0" distL="0" distR="0" wp14:anchorId="007ACE70" wp14:editId="1417668E">
            <wp:extent cx="2952288" cy="200025"/>
            <wp:effectExtent l="0" t="0" r="635" b="0"/>
            <wp:docPr id="357408889" name="Picture 357408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9871" cy="202571"/>
                    </a:xfrm>
                    <a:prstGeom prst="rect">
                      <a:avLst/>
                    </a:prstGeom>
                    <a:noFill/>
                    <a:ln>
                      <a:noFill/>
                    </a:ln>
                  </pic:spPr>
                </pic:pic>
              </a:graphicData>
            </a:graphic>
          </wp:inline>
        </w:drawing>
      </w:r>
    </w:p>
    <w:p w14:paraId="00FDAE41" w14:textId="7A6E7324" w:rsidR="00B96028" w:rsidRPr="00647CF1" w:rsidRDefault="00B96028" w:rsidP="00B96028">
      <w:pPr>
        <w:pStyle w:val="ListParagraph"/>
        <w:numPr>
          <w:ilvl w:val="0"/>
          <w:numId w:val="1"/>
        </w:numPr>
        <w:spacing w:line="276" w:lineRule="auto"/>
        <w:rPr>
          <w:b/>
          <w:bCs/>
        </w:rPr>
      </w:pPr>
      <w:r w:rsidRPr="00647CF1">
        <w:rPr>
          <w:b/>
          <w:bCs/>
          <w:i/>
          <w:iCs/>
        </w:rPr>
        <w:t xml:space="preserve">Dr Oisin Wall </w:t>
      </w:r>
      <w:r w:rsidRPr="00D35CD8">
        <w:t>–</w:t>
      </w:r>
      <w:r w:rsidR="00453C9D" w:rsidRPr="00D35CD8">
        <w:t xml:space="preserve"> </w:t>
      </w:r>
      <w:r w:rsidR="00E42216" w:rsidRPr="00E42216">
        <w:t>Aoife Breathnach, Becoming Conspicuous: Irish Travellers, Society and the State 1922-70 (University College Dublin Press, Dublin, 2006).</w:t>
      </w:r>
    </w:p>
    <w:p w14:paraId="1F12934F" w14:textId="3B702BCD" w:rsidR="00B96028" w:rsidRPr="007C65CC" w:rsidRDefault="000A17B2" w:rsidP="00B96028">
      <w:pPr>
        <w:pStyle w:val="ListParagraph"/>
        <w:spacing w:line="276" w:lineRule="auto"/>
        <w:rPr>
          <w:b/>
          <w:bCs/>
        </w:rPr>
      </w:pPr>
      <w:r w:rsidRPr="007C65CC">
        <w:rPr>
          <w:noProof/>
        </w:rPr>
        <w:drawing>
          <wp:inline distT="0" distB="0" distL="0" distR="0" wp14:anchorId="0912DE90" wp14:editId="584A74D0">
            <wp:extent cx="2952750" cy="200025"/>
            <wp:effectExtent l="0" t="0" r="0" b="9525"/>
            <wp:docPr id="17859318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2750" cy="200025"/>
                    </a:xfrm>
                    <a:prstGeom prst="rect">
                      <a:avLst/>
                    </a:prstGeom>
                    <a:noFill/>
                    <a:ln>
                      <a:noFill/>
                    </a:ln>
                  </pic:spPr>
                </pic:pic>
              </a:graphicData>
            </a:graphic>
          </wp:inline>
        </w:drawing>
      </w:r>
    </w:p>
    <w:p w14:paraId="26AA112C" w14:textId="69A442E6" w:rsidR="00B96028" w:rsidRPr="00647CF1" w:rsidRDefault="00CE26E2" w:rsidP="00B96028">
      <w:pPr>
        <w:pStyle w:val="ListParagraph"/>
        <w:numPr>
          <w:ilvl w:val="0"/>
          <w:numId w:val="1"/>
        </w:numPr>
        <w:spacing w:line="276" w:lineRule="auto"/>
        <w:rPr>
          <w:b/>
          <w:bCs/>
        </w:rPr>
      </w:pPr>
      <w:r>
        <w:rPr>
          <w:b/>
          <w:bCs/>
          <w:i/>
          <w:iCs/>
        </w:rPr>
        <w:t>Gordon Warren</w:t>
      </w:r>
      <w:r w:rsidR="00B96028" w:rsidRPr="00647CF1">
        <w:rPr>
          <w:b/>
          <w:bCs/>
        </w:rPr>
        <w:t xml:space="preserve"> – </w:t>
      </w:r>
      <w:r w:rsidR="00B96028" w:rsidRPr="00647CF1">
        <w:t>J.B. Bury, History of the Papacy in the 19th century. Liberty and authority in the Catholic Church (Macmillan, London, 1930)</w:t>
      </w:r>
    </w:p>
    <w:p w14:paraId="6561914C" w14:textId="77777777" w:rsidR="00B96028" w:rsidRPr="005F34AF" w:rsidRDefault="00B96028" w:rsidP="00B96028">
      <w:pPr>
        <w:pStyle w:val="ListParagraph"/>
        <w:spacing w:line="276" w:lineRule="auto"/>
        <w:rPr>
          <w:b/>
          <w:bCs/>
        </w:rPr>
      </w:pPr>
      <w:r w:rsidRPr="005F34AF">
        <w:rPr>
          <w:noProof/>
        </w:rPr>
        <w:drawing>
          <wp:inline distT="0" distB="0" distL="0" distR="0" wp14:anchorId="3B773A94" wp14:editId="680F12C9">
            <wp:extent cx="2762250" cy="188949"/>
            <wp:effectExtent l="0" t="0" r="0" b="1905"/>
            <wp:docPr id="1959106063" name="Picture 1959106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3175" cy="197905"/>
                    </a:xfrm>
                    <a:prstGeom prst="rect">
                      <a:avLst/>
                    </a:prstGeom>
                    <a:noFill/>
                    <a:ln>
                      <a:noFill/>
                    </a:ln>
                  </pic:spPr>
                </pic:pic>
              </a:graphicData>
            </a:graphic>
          </wp:inline>
        </w:drawing>
      </w:r>
    </w:p>
    <w:p w14:paraId="3D9146DF" w14:textId="6B685429" w:rsidR="00E20F1A" w:rsidRPr="007C65CC" w:rsidRDefault="00E20F1A" w:rsidP="00B96028">
      <w:pPr>
        <w:pStyle w:val="ListParagraph"/>
        <w:numPr>
          <w:ilvl w:val="0"/>
          <w:numId w:val="1"/>
        </w:numPr>
        <w:spacing w:line="276" w:lineRule="auto"/>
        <w:rPr>
          <w:b/>
          <w:bCs/>
          <w:color w:val="FF0000"/>
        </w:rPr>
      </w:pPr>
      <w:r w:rsidRPr="00AB24D6">
        <w:rPr>
          <w:b/>
          <w:bCs/>
          <w:i/>
          <w:iCs/>
        </w:rPr>
        <w:t>Dr Andrew McCarthy</w:t>
      </w:r>
      <w:r w:rsidRPr="005F34AF">
        <w:rPr>
          <w:b/>
          <w:bCs/>
        </w:rPr>
        <w:t xml:space="preserve"> –</w:t>
      </w:r>
      <w:r w:rsidR="005F34AF" w:rsidRPr="005F34AF">
        <w:rPr>
          <w:b/>
          <w:bCs/>
        </w:rPr>
        <w:t xml:space="preserve"> </w:t>
      </w:r>
      <w:r w:rsidR="00A650FD" w:rsidRPr="00AB24D6">
        <w:t>Irving v Lipstadt.</w:t>
      </w:r>
      <w:r w:rsidR="00A650FD" w:rsidRPr="005F34AF">
        <w:rPr>
          <w:b/>
          <w:bCs/>
        </w:rPr>
        <w:t xml:space="preserve"> </w:t>
      </w:r>
    </w:p>
    <w:p w14:paraId="30FBE0C1" w14:textId="5218F73F" w:rsidR="00DD12FC" w:rsidRPr="007C65CC" w:rsidRDefault="00FC173A" w:rsidP="00DD12FC">
      <w:pPr>
        <w:pStyle w:val="ListParagraph"/>
        <w:spacing w:line="276" w:lineRule="auto"/>
        <w:rPr>
          <w:b/>
          <w:bCs/>
          <w:color w:val="FF0000"/>
        </w:rPr>
      </w:pPr>
      <w:r w:rsidRPr="007C65CC">
        <w:rPr>
          <w:noProof/>
        </w:rPr>
        <w:drawing>
          <wp:inline distT="0" distB="0" distL="0" distR="0" wp14:anchorId="73A43319" wp14:editId="3B128F87">
            <wp:extent cx="2952750" cy="200025"/>
            <wp:effectExtent l="0" t="0" r="0" b="9525"/>
            <wp:docPr id="770784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750" cy="200025"/>
                    </a:xfrm>
                    <a:prstGeom prst="rect">
                      <a:avLst/>
                    </a:prstGeom>
                    <a:noFill/>
                    <a:ln>
                      <a:noFill/>
                    </a:ln>
                  </pic:spPr>
                </pic:pic>
              </a:graphicData>
            </a:graphic>
          </wp:inline>
        </w:drawing>
      </w:r>
    </w:p>
    <w:p w14:paraId="7A81C50A" w14:textId="1F5354B8" w:rsidR="00ED1AA4" w:rsidRPr="00AB24D6" w:rsidRDefault="00ED1AA4" w:rsidP="00ED1AA4">
      <w:pPr>
        <w:pStyle w:val="ListParagraph"/>
        <w:numPr>
          <w:ilvl w:val="0"/>
          <w:numId w:val="1"/>
        </w:numPr>
        <w:rPr>
          <w:b/>
          <w:bCs/>
        </w:rPr>
      </w:pPr>
      <w:r w:rsidRPr="00AB24D6">
        <w:rPr>
          <w:b/>
          <w:bCs/>
          <w:i/>
          <w:iCs/>
        </w:rPr>
        <w:t>Prof Ciara Breathnach</w:t>
      </w:r>
      <w:r w:rsidRPr="00AB24D6">
        <w:rPr>
          <w:b/>
          <w:bCs/>
        </w:rPr>
        <w:t xml:space="preserve"> – </w:t>
      </w:r>
      <w:r w:rsidR="00AB24D6" w:rsidRPr="00AB24D6">
        <w:t>Ian Milligan, The Transformation of Historical Research in the Digital Age (Cambridge University Press, 2022).</w:t>
      </w:r>
    </w:p>
    <w:p w14:paraId="281F82B9" w14:textId="0ADC2155" w:rsidR="00ED1AA4" w:rsidRPr="007C65CC" w:rsidRDefault="00697750" w:rsidP="00ED1AA4">
      <w:pPr>
        <w:pStyle w:val="ListParagraph"/>
        <w:rPr>
          <w:b/>
          <w:bCs/>
        </w:rPr>
      </w:pPr>
      <w:r w:rsidRPr="007C65CC">
        <w:rPr>
          <w:noProof/>
        </w:rPr>
        <w:drawing>
          <wp:inline distT="0" distB="0" distL="0" distR="0" wp14:anchorId="795CEFE6" wp14:editId="5D22607A">
            <wp:extent cx="2952750" cy="200025"/>
            <wp:effectExtent l="0" t="0" r="0" b="9525"/>
            <wp:docPr id="17651379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52750" cy="200025"/>
                    </a:xfrm>
                    <a:prstGeom prst="rect">
                      <a:avLst/>
                    </a:prstGeom>
                    <a:noFill/>
                    <a:ln>
                      <a:noFill/>
                    </a:ln>
                  </pic:spPr>
                </pic:pic>
              </a:graphicData>
            </a:graphic>
          </wp:inline>
        </w:drawing>
      </w:r>
    </w:p>
    <w:p w14:paraId="4DC33130" w14:textId="0EE322D1" w:rsidR="00B96028" w:rsidRPr="00B514FA" w:rsidRDefault="00CF5648" w:rsidP="003A046E">
      <w:pPr>
        <w:pStyle w:val="ListParagraph"/>
        <w:numPr>
          <w:ilvl w:val="0"/>
          <w:numId w:val="1"/>
        </w:numPr>
        <w:spacing w:line="276" w:lineRule="auto"/>
        <w:rPr>
          <w:b/>
          <w:bCs/>
          <w:sz w:val="16"/>
          <w:szCs w:val="16"/>
        </w:rPr>
      </w:pPr>
      <w:r w:rsidRPr="00B514FA">
        <w:rPr>
          <w:b/>
          <w:bCs/>
        </w:rPr>
        <w:t xml:space="preserve"> </w:t>
      </w:r>
      <w:r w:rsidRPr="00CF003E">
        <w:rPr>
          <w:b/>
          <w:bCs/>
          <w:i/>
          <w:iCs/>
        </w:rPr>
        <w:t>Dr Jason Harris</w:t>
      </w:r>
      <w:r w:rsidR="000652DE" w:rsidRPr="00B514FA">
        <w:rPr>
          <w:b/>
          <w:bCs/>
        </w:rPr>
        <w:t xml:space="preserve"> - </w:t>
      </w:r>
      <w:r w:rsidR="00CF003E">
        <w:rPr>
          <w:rFonts w:eastAsia="Times New Roman"/>
        </w:rPr>
        <w:t xml:space="preserve">Debating the Witch Trials: Boyer &amp; Nissenbaum, </w:t>
      </w:r>
      <w:r w:rsidR="00CF003E">
        <w:rPr>
          <w:rFonts w:eastAsia="Times New Roman"/>
          <w:i/>
          <w:iCs/>
        </w:rPr>
        <w:t>Salem Possessed</w:t>
      </w:r>
      <w:r w:rsidR="00CF003E">
        <w:rPr>
          <w:rFonts w:eastAsia="Times New Roman"/>
        </w:rPr>
        <w:t>.</w:t>
      </w:r>
    </w:p>
    <w:p w14:paraId="22A22FA8" w14:textId="27308B74" w:rsidR="00B514FA" w:rsidRPr="00B514FA" w:rsidRDefault="00443EDA" w:rsidP="00B514FA">
      <w:pPr>
        <w:pStyle w:val="ListParagraph"/>
        <w:spacing w:line="276" w:lineRule="auto"/>
        <w:rPr>
          <w:b/>
          <w:bCs/>
          <w:sz w:val="16"/>
          <w:szCs w:val="16"/>
        </w:rPr>
      </w:pPr>
      <w:r w:rsidRPr="00443EDA">
        <w:rPr>
          <w:noProof/>
        </w:rPr>
        <w:drawing>
          <wp:inline distT="0" distB="0" distL="0" distR="0" wp14:anchorId="754E6408" wp14:editId="6F082997">
            <wp:extent cx="3213100" cy="190500"/>
            <wp:effectExtent l="0" t="0" r="6350" b="0"/>
            <wp:docPr id="577764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13100" cy="190500"/>
                    </a:xfrm>
                    <a:prstGeom prst="rect">
                      <a:avLst/>
                    </a:prstGeom>
                    <a:noFill/>
                    <a:ln>
                      <a:noFill/>
                    </a:ln>
                  </pic:spPr>
                </pic:pic>
              </a:graphicData>
            </a:graphic>
          </wp:inline>
        </w:drawing>
      </w:r>
    </w:p>
    <w:p w14:paraId="767D7FE8" w14:textId="47A0EF6D" w:rsidR="00A8322D" w:rsidRDefault="00A8322D" w:rsidP="008630E1">
      <w:pPr>
        <w:rPr>
          <w:b/>
          <w:bCs/>
          <w:sz w:val="16"/>
          <w:szCs w:val="16"/>
        </w:rPr>
      </w:pPr>
    </w:p>
    <w:p w14:paraId="0E2ABDDF" w14:textId="730DE0FF" w:rsidR="00F107C4" w:rsidRPr="00F107C4" w:rsidRDefault="00B96028" w:rsidP="008630E1">
      <w:pPr>
        <w:rPr>
          <w:sz w:val="16"/>
          <w:szCs w:val="16"/>
        </w:rPr>
      </w:pPr>
      <w:r>
        <w:rPr>
          <w:b/>
          <w:bCs/>
          <w:sz w:val="16"/>
          <w:szCs w:val="16"/>
        </w:rPr>
        <w:t xml:space="preserve">CONN </w:t>
      </w:r>
      <w:r w:rsidRPr="002F64BB">
        <w:rPr>
          <w:sz w:val="16"/>
          <w:szCs w:val="16"/>
        </w:rPr>
        <w:t xml:space="preserve">= Connolly </w:t>
      </w:r>
      <w:proofErr w:type="gramStart"/>
      <w:r w:rsidRPr="002F64BB">
        <w:rPr>
          <w:sz w:val="16"/>
          <w:szCs w:val="16"/>
        </w:rPr>
        <w:t>Building;</w:t>
      </w:r>
      <w:r w:rsidRPr="003325A4">
        <w:rPr>
          <w:b/>
          <w:bCs/>
          <w:sz w:val="16"/>
          <w:szCs w:val="16"/>
        </w:rPr>
        <w:t xml:space="preserve"> </w:t>
      </w:r>
      <w:r>
        <w:rPr>
          <w:b/>
          <w:bCs/>
          <w:sz w:val="16"/>
          <w:szCs w:val="16"/>
        </w:rPr>
        <w:t xml:space="preserve"> </w:t>
      </w:r>
      <w:r w:rsidRPr="003325A4">
        <w:rPr>
          <w:b/>
          <w:bCs/>
          <w:sz w:val="16"/>
          <w:szCs w:val="16"/>
        </w:rPr>
        <w:t>CEC</w:t>
      </w:r>
      <w:proofErr w:type="gramEnd"/>
      <w:r>
        <w:rPr>
          <w:sz w:val="16"/>
          <w:szCs w:val="16"/>
        </w:rPr>
        <w:t xml:space="preserve"> = Cork Enterprise Centre;  </w:t>
      </w:r>
      <w:r>
        <w:rPr>
          <w:b/>
          <w:bCs/>
          <w:sz w:val="16"/>
          <w:szCs w:val="16"/>
        </w:rPr>
        <w:t xml:space="preserve"> ELECT </w:t>
      </w:r>
      <w:r>
        <w:rPr>
          <w:sz w:val="16"/>
          <w:szCs w:val="16"/>
        </w:rPr>
        <w:t>=</w:t>
      </w:r>
      <w:r w:rsidRPr="002B628F">
        <w:rPr>
          <w:sz w:val="16"/>
          <w:szCs w:val="16"/>
        </w:rPr>
        <w:t xml:space="preserve"> Electrical Engineering</w:t>
      </w:r>
      <w:r>
        <w:rPr>
          <w:b/>
          <w:bCs/>
          <w:sz w:val="16"/>
          <w:szCs w:val="16"/>
        </w:rPr>
        <w:t xml:space="preserve">;  ORB </w:t>
      </w:r>
      <w:r w:rsidRPr="007D1C5C">
        <w:rPr>
          <w:sz w:val="16"/>
          <w:szCs w:val="16"/>
        </w:rPr>
        <w:t>= O’Rahilly Building;</w:t>
      </w:r>
      <w:r>
        <w:rPr>
          <w:b/>
          <w:bCs/>
          <w:sz w:val="16"/>
          <w:szCs w:val="16"/>
        </w:rPr>
        <w:t xml:space="preserve">  </w:t>
      </w:r>
      <w:r w:rsidRPr="00C51CF2">
        <w:rPr>
          <w:b/>
          <w:bCs/>
          <w:sz w:val="16"/>
          <w:szCs w:val="16"/>
        </w:rPr>
        <w:t xml:space="preserve">SIL </w:t>
      </w:r>
      <w:r w:rsidRPr="00C51CF2">
        <w:rPr>
          <w:sz w:val="16"/>
          <w:szCs w:val="16"/>
        </w:rPr>
        <w:t xml:space="preserve">= Silverdale; </w:t>
      </w:r>
      <w:r>
        <w:rPr>
          <w:sz w:val="16"/>
          <w:szCs w:val="16"/>
        </w:rPr>
        <w:t xml:space="preserve">  </w:t>
      </w:r>
      <w:r w:rsidRPr="00180E7A">
        <w:rPr>
          <w:b/>
          <w:bCs/>
          <w:sz w:val="16"/>
          <w:szCs w:val="16"/>
        </w:rPr>
        <w:t xml:space="preserve">TYRC </w:t>
      </w:r>
      <w:r w:rsidRPr="00F86604">
        <w:rPr>
          <w:sz w:val="16"/>
          <w:szCs w:val="16"/>
        </w:rPr>
        <w:t xml:space="preserve">= Tyrconnell; </w:t>
      </w:r>
      <w:r w:rsidRPr="00C51CF2">
        <w:rPr>
          <w:b/>
          <w:bCs/>
          <w:sz w:val="16"/>
          <w:szCs w:val="16"/>
        </w:rPr>
        <w:t>W</w:t>
      </w:r>
      <w:r>
        <w:rPr>
          <w:b/>
          <w:bCs/>
          <w:sz w:val="16"/>
          <w:szCs w:val="16"/>
        </w:rPr>
        <w:t>W</w:t>
      </w:r>
      <w:r w:rsidRPr="00C51CF2">
        <w:rPr>
          <w:b/>
          <w:bCs/>
          <w:sz w:val="16"/>
          <w:szCs w:val="16"/>
        </w:rPr>
        <w:t xml:space="preserve"> </w:t>
      </w:r>
      <w:r w:rsidRPr="00C51CF2">
        <w:rPr>
          <w:sz w:val="16"/>
          <w:szCs w:val="16"/>
        </w:rPr>
        <w:t>= West</w:t>
      </w:r>
      <w:r>
        <w:rPr>
          <w:sz w:val="16"/>
          <w:szCs w:val="16"/>
        </w:rPr>
        <w:t xml:space="preserve"> Wing</w:t>
      </w:r>
      <w:r w:rsidRPr="00C51CF2">
        <w:rPr>
          <w:sz w:val="16"/>
          <w:szCs w:val="16"/>
        </w:rPr>
        <w:t>.</w:t>
      </w:r>
      <w:r w:rsidR="00F107C4">
        <w:rPr>
          <w:sz w:val="16"/>
          <w:szCs w:val="16"/>
        </w:rPr>
        <w:tab/>
      </w:r>
    </w:p>
    <w:sectPr w:rsidR="00F107C4" w:rsidRPr="00F107C4" w:rsidSect="008B0D7A">
      <w:pgSz w:w="11906" w:h="16838"/>
      <w:pgMar w:top="709" w:right="707"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54F67" w14:textId="77777777" w:rsidR="00F87011" w:rsidRDefault="00F87011" w:rsidP="000D64E8">
      <w:pPr>
        <w:spacing w:after="0" w:line="240" w:lineRule="auto"/>
      </w:pPr>
      <w:r>
        <w:separator/>
      </w:r>
    </w:p>
  </w:endnote>
  <w:endnote w:type="continuationSeparator" w:id="0">
    <w:p w14:paraId="24591404" w14:textId="77777777" w:rsidR="00F87011" w:rsidRDefault="00F87011" w:rsidP="000D6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BDDC6" w14:textId="77777777" w:rsidR="00F87011" w:rsidRDefault="00F87011" w:rsidP="000D64E8">
      <w:pPr>
        <w:spacing w:after="0" w:line="240" w:lineRule="auto"/>
      </w:pPr>
      <w:r>
        <w:separator/>
      </w:r>
    </w:p>
  </w:footnote>
  <w:footnote w:type="continuationSeparator" w:id="0">
    <w:p w14:paraId="5E6494CF" w14:textId="77777777" w:rsidR="00F87011" w:rsidRDefault="00F87011" w:rsidP="000D64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211D2"/>
    <w:multiLevelType w:val="hybridMultilevel"/>
    <w:tmpl w:val="C3040E04"/>
    <w:lvl w:ilvl="0" w:tplc="1809000F">
      <w:start w:val="1"/>
      <w:numFmt w:val="decimal"/>
      <w:lvlText w:val="%1."/>
      <w:lvlJc w:val="left"/>
      <w:pPr>
        <w:ind w:left="8441" w:hanging="360"/>
      </w:pPr>
    </w:lvl>
    <w:lvl w:ilvl="1" w:tplc="18090019" w:tentative="1">
      <w:start w:val="1"/>
      <w:numFmt w:val="lowerLetter"/>
      <w:lvlText w:val="%2."/>
      <w:lvlJc w:val="left"/>
      <w:pPr>
        <w:ind w:left="9161" w:hanging="360"/>
      </w:pPr>
    </w:lvl>
    <w:lvl w:ilvl="2" w:tplc="1809001B" w:tentative="1">
      <w:start w:val="1"/>
      <w:numFmt w:val="lowerRoman"/>
      <w:lvlText w:val="%3."/>
      <w:lvlJc w:val="right"/>
      <w:pPr>
        <w:ind w:left="9881" w:hanging="180"/>
      </w:pPr>
    </w:lvl>
    <w:lvl w:ilvl="3" w:tplc="1809000F" w:tentative="1">
      <w:start w:val="1"/>
      <w:numFmt w:val="decimal"/>
      <w:lvlText w:val="%4."/>
      <w:lvlJc w:val="left"/>
      <w:pPr>
        <w:ind w:left="10601" w:hanging="360"/>
      </w:pPr>
    </w:lvl>
    <w:lvl w:ilvl="4" w:tplc="18090019" w:tentative="1">
      <w:start w:val="1"/>
      <w:numFmt w:val="lowerLetter"/>
      <w:lvlText w:val="%5."/>
      <w:lvlJc w:val="left"/>
      <w:pPr>
        <w:ind w:left="11321" w:hanging="360"/>
      </w:pPr>
    </w:lvl>
    <w:lvl w:ilvl="5" w:tplc="1809001B" w:tentative="1">
      <w:start w:val="1"/>
      <w:numFmt w:val="lowerRoman"/>
      <w:lvlText w:val="%6."/>
      <w:lvlJc w:val="right"/>
      <w:pPr>
        <w:ind w:left="12041" w:hanging="180"/>
      </w:pPr>
    </w:lvl>
    <w:lvl w:ilvl="6" w:tplc="1809000F" w:tentative="1">
      <w:start w:val="1"/>
      <w:numFmt w:val="decimal"/>
      <w:lvlText w:val="%7."/>
      <w:lvlJc w:val="left"/>
      <w:pPr>
        <w:ind w:left="12761" w:hanging="360"/>
      </w:pPr>
    </w:lvl>
    <w:lvl w:ilvl="7" w:tplc="18090019" w:tentative="1">
      <w:start w:val="1"/>
      <w:numFmt w:val="lowerLetter"/>
      <w:lvlText w:val="%8."/>
      <w:lvlJc w:val="left"/>
      <w:pPr>
        <w:ind w:left="13481" w:hanging="360"/>
      </w:pPr>
    </w:lvl>
    <w:lvl w:ilvl="8" w:tplc="1809001B" w:tentative="1">
      <w:start w:val="1"/>
      <w:numFmt w:val="lowerRoman"/>
      <w:lvlText w:val="%9."/>
      <w:lvlJc w:val="right"/>
      <w:pPr>
        <w:ind w:left="14201" w:hanging="180"/>
      </w:pPr>
    </w:lvl>
  </w:abstractNum>
  <w:abstractNum w:abstractNumId="1" w15:restartNumberingAfterBreak="0">
    <w:nsid w:val="10123B22"/>
    <w:multiLevelType w:val="hybridMultilevel"/>
    <w:tmpl w:val="9D32F0C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A722D5A"/>
    <w:multiLevelType w:val="hybridMultilevel"/>
    <w:tmpl w:val="3084BEA4"/>
    <w:lvl w:ilvl="0" w:tplc="157E0790">
      <w:numFmt w:val="decimal"/>
      <w:lvlText w:val="%1."/>
      <w:lvlJc w:val="left"/>
      <w:pPr>
        <w:ind w:left="720" w:hanging="360"/>
      </w:pPr>
      <w:rPr>
        <w:rFonts w:hint="default"/>
        <w:strike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D7D2038"/>
    <w:multiLevelType w:val="hybridMultilevel"/>
    <w:tmpl w:val="4C502220"/>
    <w:lvl w:ilvl="0" w:tplc="8E605F3E">
      <w:start w:val="1"/>
      <w:numFmt w:val="decimal"/>
      <w:lvlText w:val="%1."/>
      <w:lvlJc w:val="left"/>
      <w:pPr>
        <w:ind w:left="720" w:hanging="360"/>
      </w:pPr>
      <w:rPr>
        <w:b/>
        <w:bCs/>
        <w:color w:val="auto"/>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EBE4B4F"/>
    <w:multiLevelType w:val="hybridMultilevel"/>
    <w:tmpl w:val="A886A55A"/>
    <w:lvl w:ilvl="0" w:tplc="D57A5DFA">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EA5666E"/>
    <w:multiLevelType w:val="hybridMultilevel"/>
    <w:tmpl w:val="F39C2A48"/>
    <w:lvl w:ilvl="0" w:tplc="6C86DC5A">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C473DD6"/>
    <w:multiLevelType w:val="multilevel"/>
    <w:tmpl w:val="F02C846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8900588">
    <w:abstractNumId w:val="3"/>
  </w:num>
  <w:num w:numId="2" w16cid:durableId="645940360">
    <w:abstractNumId w:val="0"/>
  </w:num>
  <w:num w:numId="3" w16cid:durableId="952321678">
    <w:abstractNumId w:val="5"/>
  </w:num>
  <w:num w:numId="4" w16cid:durableId="1989704232">
    <w:abstractNumId w:val="4"/>
  </w:num>
  <w:num w:numId="5" w16cid:durableId="1589390682">
    <w:abstractNumId w:val="1"/>
  </w:num>
  <w:num w:numId="6" w16cid:durableId="1876963097">
    <w:abstractNumId w:val="6"/>
  </w:num>
  <w:num w:numId="7" w16cid:durableId="1113329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EB"/>
    <w:rsid w:val="00003218"/>
    <w:rsid w:val="00003486"/>
    <w:rsid w:val="00014BA0"/>
    <w:rsid w:val="000170A7"/>
    <w:rsid w:val="00034CE1"/>
    <w:rsid w:val="00035EE6"/>
    <w:rsid w:val="00036336"/>
    <w:rsid w:val="000436FF"/>
    <w:rsid w:val="00050A52"/>
    <w:rsid w:val="000606BB"/>
    <w:rsid w:val="000619F1"/>
    <w:rsid w:val="000652DE"/>
    <w:rsid w:val="00065D40"/>
    <w:rsid w:val="00070079"/>
    <w:rsid w:val="00075021"/>
    <w:rsid w:val="00076F5A"/>
    <w:rsid w:val="00084CBE"/>
    <w:rsid w:val="000873AE"/>
    <w:rsid w:val="0009077F"/>
    <w:rsid w:val="000A0A70"/>
    <w:rsid w:val="000A17B2"/>
    <w:rsid w:val="000A6F97"/>
    <w:rsid w:val="000B3F5F"/>
    <w:rsid w:val="000B4987"/>
    <w:rsid w:val="000B6065"/>
    <w:rsid w:val="000C475A"/>
    <w:rsid w:val="000D4FE0"/>
    <w:rsid w:val="000D64E8"/>
    <w:rsid w:val="000E4FF4"/>
    <w:rsid w:val="000E513C"/>
    <w:rsid w:val="000E5569"/>
    <w:rsid w:val="000E6E2C"/>
    <w:rsid w:val="000F29BC"/>
    <w:rsid w:val="00100EEE"/>
    <w:rsid w:val="00107DE7"/>
    <w:rsid w:val="00110224"/>
    <w:rsid w:val="00114AB2"/>
    <w:rsid w:val="00120012"/>
    <w:rsid w:val="00121E4B"/>
    <w:rsid w:val="001259FE"/>
    <w:rsid w:val="0013130C"/>
    <w:rsid w:val="00132207"/>
    <w:rsid w:val="00154F11"/>
    <w:rsid w:val="0016082D"/>
    <w:rsid w:val="00163B4C"/>
    <w:rsid w:val="00166E10"/>
    <w:rsid w:val="00171202"/>
    <w:rsid w:val="00176B58"/>
    <w:rsid w:val="00177645"/>
    <w:rsid w:val="00180E7A"/>
    <w:rsid w:val="00182E7E"/>
    <w:rsid w:val="001B0B86"/>
    <w:rsid w:val="001B54D4"/>
    <w:rsid w:val="001C44AF"/>
    <w:rsid w:val="001D083D"/>
    <w:rsid w:val="001D3700"/>
    <w:rsid w:val="001D4C3D"/>
    <w:rsid w:val="001F599B"/>
    <w:rsid w:val="002179D7"/>
    <w:rsid w:val="002253A2"/>
    <w:rsid w:val="00227A6A"/>
    <w:rsid w:val="002465B6"/>
    <w:rsid w:val="00256BF0"/>
    <w:rsid w:val="0025785A"/>
    <w:rsid w:val="00262073"/>
    <w:rsid w:val="00263E98"/>
    <w:rsid w:val="00264DE1"/>
    <w:rsid w:val="002838B4"/>
    <w:rsid w:val="00285DF1"/>
    <w:rsid w:val="002A761D"/>
    <w:rsid w:val="002B4A6C"/>
    <w:rsid w:val="002B628F"/>
    <w:rsid w:val="002C0407"/>
    <w:rsid w:val="002C1AD0"/>
    <w:rsid w:val="002C577D"/>
    <w:rsid w:val="002D49B8"/>
    <w:rsid w:val="002D7233"/>
    <w:rsid w:val="002E2D7E"/>
    <w:rsid w:val="002F4871"/>
    <w:rsid w:val="002F64BB"/>
    <w:rsid w:val="002F71DC"/>
    <w:rsid w:val="002F781B"/>
    <w:rsid w:val="003029DE"/>
    <w:rsid w:val="00302D67"/>
    <w:rsid w:val="0030745C"/>
    <w:rsid w:val="0031029A"/>
    <w:rsid w:val="00310C6D"/>
    <w:rsid w:val="00312FAD"/>
    <w:rsid w:val="003132C4"/>
    <w:rsid w:val="00313312"/>
    <w:rsid w:val="00330AFC"/>
    <w:rsid w:val="003325A4"/>
    <w:rsid w:val="00350433"/>
    <w:rsid w:val="00350FF7"/>
    <w:rsid w:val="00355361"/>
    <w:rsid w:val="003739B0"/>
    <w:rsid w:val="00376F33"/>
    <w:rsid w:val="003830CB"/>
    <w:rsid w:val="00386A98"/>
    <w:rsid w:val="003878C7"/>
    <w:rsid w:val="00390708"/>
    <w:rsid w:val="00393384"/>
    <w:rsid w:val="00396974"/>
    <w:rsid w:val="0039770F"/>
    <w:rsid w:val="003A5695"/>
    <w:rsid w:val="003A6A44"/>
    <w:rsid w:val="003D6B27"/>
    <w:rsid w:val="003E3103"/>
    <w:rsid w:val="003E4995"/>
    <w:rsid w:val="003E535C"/>
    <w:rsid w:val="003E74BF"/>
    <w:rsid w:val="003F3835"/>
    <w:rsid w:val="0040147A"/>
    <w:rsid w:val="00407AC2"/>
    <w:rsid w:val="00410266"/>
    <w:rsid w:val="0041338D"/>
    <w:rsid w:val="004135F8"/>
    <w:rsid w:val="004348FA"/>
    <w:rsid w:val="00436E31"/>
    <w:rsid w:val="004416D3"/>
    <w:rsid w:val="00442133"/>
    <w:rsid w:val="00443EDA"/>
    <w:rsid w:val="004477AB"/>
    <w:rsid w:val="00453C9D"/>
    <w:rsid w:val="00462C03"/>
    <w:rsid w:val="00473F4E"/>
    <w:rsid w:val="0048120B"/>
    <w:rsid w:val="0048424E"/>
    <w:rsid w:val="00494366"/>
    <w:rsid w:val="004950D3"/>
    <w:rsid w:val="004A23DB"/>
    <w:rsid w:val="004A4AC8"/>
    <w:rsid w:val="004A6B88"/>
    <w:rsid w:val="004B4FDC"/>
    <w:rsid w:val="004C2662"/>
    <w:rsid w:val="004C6970"/>
    <w:rsid w:val="004E6955"/>
    <w:rsid w:val="004E768A"/>
    <w:rsid w:val="004F042F"/>
    <w:rsid w:val="004F424D"/>
    <w:rsid w:val="004F4A9E"/>
    <w:rsid w:val="005226B8"/>
    <w:rsid w:val="00522D1E"/>
    <w:rsid w:val="005333E2"/>
    <w:rsid w:val="005356D3"/>
    <w:rsid w:val="0054613A"/>
    <w:rsid w:val="00551249"/>
    <w:rsid w:val="005660D3"/>
    <w:rsid w:val="00572B2A"/>
    <w:rsid w:val="00581B24"/>
    <w:rsid w:val="005827B1"/>
    <w:rsid w:val="00587A70"/>
    <w:rsid w:val="00591838"/>
    <w:rsid w:val="00594A53"/>
    <w:rsid w:val="0059600F"/>
    <w:rsid w:val="0059794A"/>
    <w:rsid w:val="005A45ED"/>
    <w:rsid w:val="005A71C5"/>
    <w:rsid w:val="005B16B5"/>
    <w:rsid w:val="005B29CD"/>
    <w:rsid w:val="005B626D"/>
    <w:rsid w:val="005B7376"/>
    <w:rsid w:val="005C5C3B"/>
    <w:rsid w:val="005C79F1"/>
    <w:rsid w:val="005D2C08"/>
    <w:rsid w:val="005D7389"/>
    <w:rsid w:val="005E2929"/>
    <w:rsid w:val="005E2DE4"/>
    <w:rsid w:val="005F234A"/>
    <w:rsid w:val="005F34AF"/>
    <w:rsid w:val="00600F31"/>
    <w:rsid w:val="00604768"/>
    <w:rsid w:val="0061171C"/>
    <w:rsid w:val="00613C5D"/>
    <w:rsid w:val="0061764F"/>
    <w:rsid w:val="00617A91"/>
    <w:rsid w:val="00623305"/>
    <w:rsid w:val="00632A1C"/>
    <w:rsid w:val="00634431"/>
    <w:rsid w:val="0064693B"/>
    <w:rsid w:val="00647CF1"/>
    <w:rsid w:val="0065351A"/>
    <w:rsid w:val="0066108F"/>
    <w:rsid w:val="00665E55"/>
    <w:rsid w:val="00670389"/>
    <w:rsid w:val="00670F25"/>
    <w:rsid w:val="00675897"/>
    <w:rsid w:val="00675F73"/>
    <w:rsid w:val="00686123"/>
    <w:rsid w:val="006940C9"/>
    <w:rsid w:val="00697750"/>
    <w:rsid w:val="0069797A"/>
    <w:rsid w:val="006A41A4"/>
    <w:rsid w:val="006B4693"/>
    <w:rsid w:val="006B5B9E"/>
    <w:rsid w:val="006B73EB"/>
    <w:rsid w:val="006B7727"/>
    <w:rsid w:val="006C2B9C"/>
    <w:rsid w:val="006C6884"/>
    <w:rsid w:val="006C6CE9"/>
    <w:rsid w:val="006D0326"/>
    <w:rsid w:val="006E586C"/>
    <w:rsid w:val="00701C94"/>
    <w:rsid w:val="00706897"/>
    <w:rsid w:val="00723C01"/>
    <w:rsid w:val="0072620A"/>
    <w:rsid w:val="00726C31"/>
    <w:rsid w:val="00730569"/>
    <w:rsid w:val="00731615"/>
    <w:rsid w:val="00745A5A"/>
    <w:rsid w:val="007528D0"/>
    <w:rsid w:val="0075669F"/>
    <w:rsid w:val="00756AB3"/>
    <w:rsid w:val="00761703"/>
    <w:rsid w:val="00763E21"/>
    <w:rsid w:val="00765182"/>
    <w:rsid w:val="007678FF"/>
    <w:rsid w:val="007771B6"/>
    <w:rsid w:val="00781385"/>
    <w:rsid w:val="0078259C"/>
    <w:rsid w:val="00783DCD"/>
    <w:rsid w:val="007A6A0C"/>
    <w:rsid w:val="007B41D4"/>
    <w:rsid w:val="007B5D5C"/>
    <w:rsid w:val="007B7110"/>
    <w:rsid w:val="007C40AE"/>
    <w:rsid w:val="007C4EA1"/>
    <w:rsid w:val="007C65CC"/>
    <w:rsid w:val="007C668B"/>
    <w:rsid w:val="007D1603"/>
    <w:rsid w:val="007D1C5C"/>
    <w:rsid w:val="007D7B41"/>
    <w:rsid w:val="007D7C58"/>
    <w:rsid w:val="007E2C64"/>
    <w:rsid w:val="007E6A86"/>
    <w:rsid w:val="007F0898"/>
    <w:rsid w:val="00804077"/>
    <w:rsid w:val="00804DBE"/>
    <w:rsid w:val="0081009E"/>
    <w:rsid w:val="008127C9"/>
    <w:rsid w:val="00823DD7"/>
    <w:rsid w:val="0083180A"/>
    <w:rsid w:val="0084426F"/>
    <w:rsid w:val="00850D1F"/>
    <w:rsid w:val="00853219"/>
    <w:rsid w:val="00861AB5"/>
    <w:rsid w:val="008630E1"/>
    <w:rsid w:val="0089015A"/>
    <w:rsid w:val="008B0D7A"/>
    <w:rsid w:val="008B58C6"/>
    <w:rsid w:val="008C24DB"/>
    <w:rsid w:val="008C371C"/>
    <w:rsid w:val="008C3819"/>
    <w:rsid w:val="008C7A9B"/>
    <w:rsid w:val="008C7D91"/>
    <w:rsid w:val="008D16CA"/>
    <w:rsid w:val="008E0287"/>
    <w:rsid w:val="00901280"/>
    <w:rsid w:val="00907072"/>
    <w:rsid w:val="00915997"/>
    <w:rsid w:val="009162FD"/>
    <w:rsid w:val="00917238"/>
    <w:rsid w:val="009203C9"/>
    <w:rsid w:val="009229EF"/>
    <w:rsid w:val="00922FAC"/>
    <w:rsid w:val="0092385C"/>
    <w:rsid w:val="00930F73"/>
    <w:rsid w:val="00931A51"/>
    <w:rsid w:val="009338D1"/>
    <w:rsid w:val="00942A90"/>
    <w:rsid w:val="00987F35"/>
    <w:rsid w:val="009921C8"/>
    <w:rsid w:val="00992BF9"/>
    <w:rsid w:val="00994486"/>
    <w:rsid w:val="009A2806"/>
    <w:rsid w:val="009B0149"/>
    <w:rsid w:val="009B233E"/>
    <w:rsid w:val="009B2CD9"/>
    <w:rsid w:val="009D286C"/>
    <w:rsid w:val="009E0818"/>
    <w:rsid w:val="009E3657"/>
    <w:rsid w:val="009F477E"/>
    <w:rsid w:val="009F6276"/>
    <w:rsid w:val="00A0788E"/>
    <w:rsid w:val="00A15616"/>
    <w:rsid w:val="00A33383"/>
    <w:rsid w:val="00A34186"/>
    <w:rsid w:val="00A453DB"/>
    <w:rsid w:val="00A46463"/>
    <w:rsid w:val="00A5057E"/>
    <w:rsid w:val="00A55447"/>
    <w:rsid w:val="00A61820"/>
    <w:rsid w:val="00A639EA"/>
    <w:rsid w:val="00A650FD"/>
    <w:rsid w:val="00A8322D"/>
    <w:rsid w:val="00A87DBC"/>
    <w:rsid w:val="00AA0AFA"/>
    <w:rsid w:val="00AA1D97"/>
    <w:rsid w:val="00AA2EDB"/>
    <w:rsid w:val="00AA4B40"/>
    <w:rsid w:val="00AB081D"/>
    <w:rsid w:val="00AB1215"/>
    <w:rsid w:val="00AB24D6"/>
    <w:rsid w:val="00AB41E8"/>
    <w:rsid w:val="00AC3C81"/>
    <w:rsid w:val="00AC6FC4"/>
    <w:rsid w:val="00AE2373"/>
    <w:rsid w:val="00AE5207"/>
    <w:rsid w:val="00AF7AAD"/>
    <w:rsid w:val="00B02068"/>
    <w:rsid w:val="00B0412D"/>
    <w:rsid w:val="00B0523E"/>
    <w:rsid w:val="00B149BE"/>
    <w:rsid w:val="00B168F3"/>
    <w:rsid w:val="00B17178"/>
    <w:rsid w:val="00B175D4"/>
    <w:rsid w:val="00B254E7"/>
    <w:rsid w:val="00B2602E"/>
    <w:rsid w:val="00B42238"/>
    <w:rsid w:val="00B45B41"/>
    <w:rsid w:val="00B514FA"/>
    <w:rsid w:val="00B67BC7"/>
    <w:rsid w:val="00B87F4C"/>
    <w:rsid w:val="00B91BCF"/>
    <w:rsid w:val="00B957A2"/>
    <w:rsid w:val="00B96028"/>
    <w:rsid w:val="00B96CE5"/>
    <w:rsid w:val="00BA2689"/>
    <w:rsid w:val="00BA6081"/>
    <w:rsid w:val="00BB095E"/>
    <w:rsid w:val="00BC2D0B"/>
    <w:rsid w:val="00BC7B6F"/>
    <w:rsid w:val="00BD2D44"/>
    <w:rsid w:val="00BD5B4C"/>
    <w:rsid w:val="00BE00E3"/>
    <w:rsid w:val="00BF1C5B"/>
    <w:rsid w:val="00BF6CB9"/>
    <w:rsid w:val="00C014F5"/>
    <w:rsid w:val="00C06BE3"/>
    <w:rsid w:val="00C07FBC"/>
    <w:rsid w:val="00C16C54"/>
    <w:rsid w:val="00C2052A"/>
    <w:rsid w:val="00C2400E"/>
    <w:rsid w:val="00C27224"/>
    <w:rsid w:val="00C278B7"/>
    <w:rsid w:val="00C47EEE"/>
    <w:rsid w:val="00C51CF2"/>
    <w:rsid w:val="00C57080"/>
    <w:rsid w:val="00C66C33"/>
    <w:rsid w:val="00C66E6D"/>
    <w:rsid w:val="00C723CD"/>
    <w:rsid w:val="00C8042B"/>
    <w:rsid w:val="00C80ABB"/>
    <w:rsid w:val="00C82745"/>
    <w:rsid w:val="00CB24F0"/>
    <w:rsid w:val="00CB6E18"/>
    <w:rsid w:val="00CD0171"/>
    <w:rsid w:val="00CD1040"/>
    <w:rsid w:val="00CD6485"/>
    <w:rsid w:val="00CE1655"/>
    <w:rsid w:val="00CE26E2"/>
    <w:rsid w:val="00CE5B30"/>
    <w:rsid w:val="00CF003E"/>
    <w:rsid w:val="00CF5648"/>
    <w:rsid w:val="00D031BB"/>
    <w:rsid w:val="00D06BD3"/>
    <w:rsid w:val="00D13460"/>
    <w:rsid w:val="00D15685"/>
    <w:rsid w:val="00D17351"/>
    <w:rsid w:val="00D24205"/>
    <w:rsid w:val="00D31FBD"/>
    <w:rsid w:val="00D3288E"/>
    <w:rsid w:val="00D35CD8"/>
    <w:rsid w:val="00D36B7E"/>
    <w:rsid w:val="00D463E3"/>
    <w:rsid w:val="00D46423"/>
    <w:rsid w:val="00D47494"/>
    <w:rsid w:val="00D50639"/>
    <w:rsid w:val="00D530AB"/>
    <w:rsid w:val="00D54B15"/>
    <w:rsid w:val="00D62CFA"/>
    <w:rsid w:val="00D646B3"/>
    <w:rsid w:val="00D72015"/>
    <w:rsid w:val="00D76389"/>
    <w:rsid w:val="00D806CE"/>
    <w:rsid w:val="00D81257"/>
    <w:rsid w:val="00D82B75"/>
    <w:rsid w:val="00D85E2C"/>
    <w:rsid w:val="00D9224D"/>
    <w:rsid w:val="00D922A8"/>
    <w:rsid w:val="00D95C45"/>
    <w:rsid w:val="00DA0E63"/>
    <w:rsid w:val="00DA6334"/>
    <w:rsid w:val="00DB5367"/>
    <w:rsid w:val="00DD12FC"/>
    <w:rsid w:val="00DD1F56"/>
    <w:rsid w:val="00DE065C"/>
    <w:rsid w:val="00DE22B7"/>
    <w:rsid w:val="00DE2776"/>
    <w:rsid w:val="00DE404B"/>
    <w:rsid w:val="00DF6723"/>
    <w:rsid w:val="00E00CAE"/>
    <w:rsid w:val="00E2033C"/>
    <w:rsid w:val="00E20F1A"/>
    <w:rsid w:val="00E21B70"/>
    <w:rsid w:val="00E3234E"/>
    <w:rsid w:val="00E42216"/>
    <w:rsid w:val="00E435CB"/>
    <w:rsid w:val="00E442EC"/>
    <w:rsid w:val="00E468E2"/>
    <w:rsid w:val="00E60739"/>
    <w:rsid w:val="00E65358"/>
    <w:rsid w:val="00E70A85"/>
    <w:rsid w:val="00E80ADA"/>
    <w:rsid w:val="00E83E91"/>
    <w:rsid w:val="00EB0B46"/>
    <w:rsid w:val="00EB32D9"/>
    <w:rsid w:val="00EB7162"/>
    <w:rsid w:val="00ED1AA4"/>
    <w:rsid w:val="00EE1DDD"/>
    <w:rsid w:val="00EE449B"/>
    <w:rsid w:val="00EE6252"/>
    <w:rsid w:val="00EF14D4"/>
    <w:rsid w:val="00F056A2"/>
    <w:rsid w:val="00F10670"/>
    <w:rsid w:val="00F107C4"/>
    <w:rsid w:val="00F11214"/>
    <w:rsid w:val="00F150C0"/>
    <w:rsid w:val="00F21850"/>
    <w:rsid w:val="00F26AAB"/>
    <w:rsid w:val="00F429DF"/>
    <w:rsid w:val="00F44A9D"/>
    <w:rsid w:val="00F45873"/>
    <w:rsid w:val="00F55995"/>
    <w:rsid w:val="00F55D98"/>
    <w:rsid w:val="00F74606"/>
    <w:rsid w:val="00F86604"/>
    <w:rsid w:val="00F87011"/>
    <w:rsid w:val="00F92751"/>
    <w:rsid w:val="00FA6A96"/>
    <w:rsid w:val="00FB2B87"/>
    <w:rsid w:val="00FB4D08"/>
    <w:rsid w:val="00FB5C22"/>
    <w:rsid w:val="00FC173A"/>
    <w:rsid w:val="00FD1C4A"/>
    <w:rsid w:val="00FD3C35"/>
    <w:rsid w:val="00FD4A3F"/>
    <w:rsid w:val="00FE2312"/>
    <w:rsid w:val="00FF0C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B71D8"/>
  <w15:chartTrackingRefBased/>
  <w15:docId w15:val="{455CD8DD-6E01-4BCB-96A6-7C8B9C43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3EB"/>
    <w:pPr>
      <w:ind w:left="720"/>
      <w:contextualSpacing/>
    </w:pPr>
  </w:style>
  <w:style w:type="table" w:styleId="TableGrid">
    <w:name w:val="Table Grid"/>
    <w:basedOn w:val="TableNormal"/>
    <w:uiPriority w:val="39"/>
    <w:rsid w:val="000E5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333E2"/>
    <w:rPr>
      <w:color w:val="0000FF"/>
      <w:u w:val="single"/>
    </w:rPr>
  </w:style>
  <w:style w:type="character" w:styleId="CommentReference">
    <w:name w:val="annotation reference"/>
    <w:basedOn w:val="DefaultParagraphFont"/>
    <w:uiPriority w:val="99"/>
    <w:semiHidden/>
    <w:unhideWhenUsed/>
    <w:rsid w:val="00C06BE3"/>
    <w:rPr>
      <w:sz w:val="16"/>
      <w:szCs w:val="16"/>
    </w:rPr>
  </w:style>
  <w:style w:type="paragraph" w:styleId="CommentText">
    <w:name w:val="annotation text"/>
    <w:basedOn w:val="Normal"/>
    <w:link w:val="CommentTextChar"/>
    <w:uiPriority w:val="99"/>
    <w:semiHidden/>
    <w:unhideWhenUsed/>
    <w:rsid w:val="00C06BE3"/>
    <w:pPr>
      <w:spacing w:line="240" w:lineRule="auto"/>
    </w:pPr>
    <w:rPr>
      <w:sz w:val="20"/>
      <w:szCs w:val="20"/>
    </w:rPr>
  </w:style>
  <w:style w:type="character" w:customStyle="1" w:styleId="CommentTextChar">
    <w:name w:val="Comment Text Char"/>
    <w:basedOn w:val="DefaultParagraphFont"/>
    <w:link w:val="CommentText"/>
    <w:uiPriority w:val="99"/>
    <w:semiHidden/>
    <w:rsid w:val="00C06BE3"/>
    <w:rPr>
      <w:sz w:val="20"/>
      <w:szCs w:val="20"/>
    </w:rPr>
  </w:style>
  <w:style w:type="paragraph" w:styleId="CommentSubject">
    <w:name w:val="annotation subject"/>
    <w:basedOn w:val="CommentText"/>
    <w:next w:val="CommentText"/>
    <w:link w:val="CommentSubjectChar"/>
    <w:uiPriority w:val="99"/>
    <w:semiHidden/>
    <w:unhideWhenUsed/>
    <w:rsid w:val="00C06BE3"/>
    <w:rPr>
      <w:b/>
      <w:bCs/>
    </w:rPr>
  </w:style>
  <w:style w:type="character" w:customStyle="1" w:styleId="CommentSubjectChar">
    <w:name w:val="Comment Subject Char"/>
    <w:basedOn w:val="CommentTextChar"/>
    <w:link w:val="CommentSubject"/>
    <w:uiPriority w:val="99"/>
    <w:semiHidden/>
    <w:rsid w:val="00C06BE3"/>
    <w:rPr>
      <w:b/>
      <w:bCs/>
      <w:sz w:val="20"/>
      <w:szCs w:val="20"/>
    </w:rPr>
  </w:style>
  <w:style w:type="paragraph" w:customStyle="1" w:styleId="paragraph">
    <w:name w:val="paragraph"/>
    <w:basedOn w:val="Normal"/>
    <w:rsid w:val="005C5C3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5C5C3B"/>
  </w:style>
  <w:style w:type="character" w:customStyle="1" w:styleId="eop">
    <w:name w:val="eop"/>
    <w:basedOn w:val="DefaultParagraphFont"/>
    <w:rsid w:val="005C5C3B"/>
  </w:style>
  <w:style w:type="character" w:customStyle="1" w:styleId="wacimagecontainer">
    <w:name w:val="wacimagecontainer"/>
    <w:basedOn w:val="DefaultParagraphFont"/>
    <w:rsid w:val="005C5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37249">
      <w:bodyDiv w:val="1"/>
      <w:marLeft w:val="0"/>
      <w:marRight w:val="0"/>
      <w:marTop w:val="0"/>
      <w:marBottom w:val="0"/>
      <w:divBdr>
        <w:top w:val="none" w:sz="0" w:space="0" w:color="auto"/>
        <w:left w:val="none" w:sz="0" w:space="0" w:color="auto"/>
        <w:bottom w:val="none" w:sz="0" w:space="0" w:color="auto"/>
        <w:right w:val="none" w:sz="0" w:space="0" w:color="auto"/>
      </w:divBdr>
    </w:div>
    <w:div w:id="357630304">
      <w:bodyDiv w:val="1"/>
      <w:marLeft w:val="0"/>
      <w:marRight w:val="0"/>
      <w:marTop w:val="0"/>
      <w:marBottom w:val="0"/>
      <w:divBdr>
        <w:top w:val="none" w:sz="0" w:space="0" w:color="auto"/>
        <w:left w:val="none" w:sz="0" w:space="0" w:color="auto"/>
        <w:bottom w:val="none" w:sz="0" w:space="0" w:color="auto"/>
        <w:right w:val="none" w:sz="0" w:space="0" w:color="auto"/>
      </w:divBdr>
    </w:div>
    <w:div w:id="104578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Pettit, Colette</dc:creator>
  <cp:keywords/>
  <dc:description/>
  <cp:lastModifiedBy>Colette Pettit</cp:lastModifiedBy>
  <cp:revision>78</cp:revision>
  <cp:lastPrinted>2023-10-10T10:13:00Z</cp:lastPrinted>
  <dcterms:created xsi:type="dcterms:W3CDTF">2024-08-05T16:27:00Z</dcterms:created>
  <dcterms:modified xsi:type="dcterms:W3CDTF">2024-11-19T09:28:00Z</dcterms:modified>
</cp:coreProperties>
</file>