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E282A" w14:textId="5CD390DA" w:rsidR="004B38AB" w:rsidRPr="006C7708" w:rsidRDefault="007C510E" w:rsidP="00774D43">
      <w:pPr>
        <w:jc w:val="center"/>
        <w:rPr>
          <w:b/>
          <w:sz w:val="32"/>
          <w:szCs w:val="32"/>
        </w:rPr>
      </w:pPr>
      <w:r>
        <w:rPr>
          <w:b/>
          <w:sz w:val="32"/>
          <w:szCs w:val="32"/>
        </w:rPr>
        <w:t xml:space="preserve"> </w:t>
      </w:r>
      <w:r w:rsidR="00D92414" w:rsidRPr="006C7708">
        <w:rPr>
          <w:b/>
          <w:sz w:val="32"/>
          <w:szCs w:val="32"/>
        </w:rPr>
        <w:t>Joint Committee on European Union Affairs</w:t>
      </w:r>
    </w:p>
    <w:p w14:paraId="2E47AFB9" w14:textId="77777777" w:rsidR="00D92414" w:rsidRPr="006C7708" w:rsidRDefault="00D92414" w:rsidP="00774D43">
      <w:pPr>
        <w:jc w:val="center"/>
        <w:rPr>
          <w:b/>
          <w:sz w:val="32"/>
          <w:szCs w:val="32"/>
        </w:rPr>
      </w:pPr>
      <w:r w:rsidRPr="006C7708">
        <w:rPr>
          <w:b/>
          <w:sz w:val="32"/>
          <w:szCs w:val="32"/>
        </w:rPr>
        <w:t>Opening statement by Dr Emmanuelle Schön-Quinlivan</w:t>
      </w:r>
    </w:p>
    <w:p w14:paraId="0F2D053B" w14:textId="77777777" w:rsidR="00D92414" w:rsidRPr="006C7708" w:rsidRDefault="00D92414" w:rsidP="00774D43">
      <w:pPr>
        <w:jc w:val="center"/>
        <w:rPr>
          <w:b/>
          <w:sz w:val="32"/>
          <w:szCs w:val="32"/>
        </w:rPr>
      </w:pPr>
      <w:r w:rsidRPr="006C7708">
        <w:rPr>
          <w:b/>
          <w:sz w:val="32"/>
          <w:szCs w:val="32"/>
        </w:rPr>
        <w:t>Lecturer in European politics, University College Cork</w:t>
      </w:r>
    </w:p>
    <w:p w14:paraId="4D2E64AD" w14:textId="77777777" w:rsidR="00D92414" w:rsidRPr="006C7708" w:rsidRDefault="003E6AF4" w:rsidP="003E6AF4">
      <w:pPr>
        <w:jc w:val="center"/>
        <w:rPr>
          <w:b/>
          <w:sz w:val="32"/>
          <w:szCs w:val="32"/>
        </w:rPr>
      </w:pPr>
      <w:r w:rsidRPr="006C7708">
        <w:rPr>
          <w:b/>
          <w:sz w:val="32"/>
          <w:szCs w:val="32"/>
        </w:rPr>
        <w:t>3 October 2018</w:t>
      </w:r>
    </w:p>
    <w:p w14:paraId="07D91C30" w14:textId="77777777" w:rsidR="003E6AF4" w:rsidRPr="003E6AF4" w:rsidRDefault="003E6AF4" w:rsidP="001E3444">
      <w:pPr>
        <w:jc w:val="both"/>
        <w:rPr>
          <w:b/>
        </w:rPr>
      </w:pPr>
    </w:p>
    <w:p w14:paraId="2F1B2106" w14:textId="77777777" w:rsidR="00D92414" w:rsidRPr="006C7708" w:rsidRDefault="00D92414" w:rsidP="001E3444">
      <w:pPr>
        <w:spacing w:line="360" w:lineRule="auto"/>
        <w:jc w:val="both"/>
        <w:rPr>
          <w:sz w:val="28"/>
          <w:szCs w:val="28"/>
        </w:rPr>
      </w:pPr>
      <w:r w:rsidRPr="006C7708">
        <w:rPr>
          <w:sz w:val="28"/>
          <w:szCs w:val="28"/>
        </w:rPr>
        <w:t xml:space="preserve">Chairman, Deputies and Senators, I would like to thank you for the invitation to share my analysis and views on the European Commission’s Task Force’s report on Subsidiarity, Proportionality and “Doing Less More Efficiently”. It is a great honour to be asked and I hope I can contribute insightfully to the discussion. </w:t>
      </w:r>
    </w:p>
    <w:p w14:paraId="3ECEB6E0" w14:textId="77777777" w:rsidR="00D92414" w:rsidRPr="006C7708" w:rsidRDefault="00D92414" w:rsidP="001E3444">
      <w:pPr>
        <w:spacing w:line="360" w:lineRule="auto"/>
        <w:jc w:val="both"/>
        <w:rPr>
          <w:sz w:val="28"/>
          <w:szCs w:val="28"/>
        </w:rPr>
      </w:pPr>
      <w:r w:rsidRPr="006C7708">
        <w:rPr>
          <w:sz w:val="28"/>
          <w:szCs w:val="28"/>
        </w:rPr>
        <w:t xml:space="preserve">I might first explain how I will structure my talk today: </w:t>
      </w:r>
    </w:p>
    <w:p w14:paraId="1B4A8518" w14:textId="77777777" w:rsidR="00D92414" w:rsidRPr="006C7708" w:rsidRDefault="00D92414" w:rsidP="001E3444">
      <w:pPr>
        <w:pStyle w:val="ListParagraph"/>
        <w:numPr>
          <w:ilvl w:val="0"/>
          <w:numId w:val="1"/>
        </w:numPr>
        <w:spacing w:line="360" w:lineRule="auto"/>
        <w:jc w:val="both"/>
        <w:rPr>
          <w:sz w:val="28"/>
          <w:szCs w:val="28"/>
        </w:rPr>
      </w:pPr>
      <w:r w:rsidRPr="006C7708">
        <w:rPr>
          <w:sz w:val="28"/>
          <w:szCs w:val="28"/>
        </w:rPr>
        <w:t>I</w:t>
      </w:r>
      <w:r w:rsidR="00774D43" w:rsidRPr="006C7708">
        <w:rPr>
          <w:sz w:val="28"/>
          <w:szCs w:val="28"/>
        </w:rPr>
        <w:t xml:space="preserve"> would</w:t>
      </w:r>
      <w:r w:rsidRPr="006C7708">
        <w:rPr>
          <w:sz w:val="28"/>
          <w:szCs w:val="28"/>
        </w:rPr>
        <w:t xml:space="preserve"> like to start by briefly recalling the history of the principle of subsidiarity and its mutations si</w:t>
      </w:r>
      <w:r w:rsidR="00774D43" w:rsidRPr="006C7708">
        <w:rPr>
          <w:sz w:val="28"/>
          <w:szCs w:val="28"/>
        </w:rPr>
        <w:t>nce its official enshrining in the 1992 Maastricht</w:t>
      </w:r>
      <w:r w:rsidRPr="006C7708">
        <w:rPr>
          <w:sz w:val="28"/>
          <w:szCs w:val="28"/>
        </w:rPr>
        <w:t xml:space="preserve"> treaty. </w:t>
      </w:r>
      <w:r w:rsidR="005C05A4" w:rsidRPr="006C7708">
        <w:rPr>
          <w:sz w:val="28"/>
          <w:szCs w:val="28"/>
        </w:rPr>
        <w:t>I think this contextualisation is useful in understanding the Task Force’</w:t>
      </w:r>
      <w:r w:rsidR="002D41D4" w:rsidRPr="006C7708">
        <w:rPr>
          <w:sz w:val="28"/>
          <w:szCs w:val="28"/>
        </w:rPr>
        <w:t>s approach in 2018.</w:t>
      </w:r>
    </w:p>
    <w:p w14:paraId="14E0BBC5" w14:textId="6E466E6D" w:rsidR="00CE22E7" w:rsidRPr="006C7708" w:rsidRDefault="00774D43" w:rsidP="001E3444">
      <w:pPr>
        <w:pStyle w:val="ListParagraph"/>
        <w:numPr>
          <w:ilvl w:val="0"/>
          <w:numId w:val="1"/>
        </w:numPr>
        <w:spacing w:line="360" w:lineRule="auto"/>
        <w:jc w:val="both"/>
        <w:rPr>
          <w:sz w:val="28"/>
          <w:szCs w:val="28"/>
        </w:rPr>
      </w:pPr>
      <w:r w:rsidRPr="006C7708">
        <w:rPr>
          <w:sz w:val="28"/>
          <w:szCs w:val="28"/>
        </w:rPr>
        <w:t>I will then analyse</w:t>
      </w:r>
      <w:r w:rsidR="00CE22E7" w:rsidRPr="006C7708">
        <w:rPr>
          <w:sz w:val="28"/>
          <w:szCs w:val="28"/>
        </w:rPr>
        <w:t xml:space="preserve"> the key points</w:t>
      </w:r>
      <w:r w:rsidRPr="006C7708">
        <w:rPr>
          <w:sz w:val="28"/>
          <w:szCs w:val="28"/>
        </w:rPr>
        <w:t xml:space="preserve"> and recommendations made by</w:t>
      </w:r>
      <w:r w:rsidR="00CE22E7" w:rsidRPr="006C7708">
        <w:rPr>
          <w:sz w:val="28"/>
          <w:szCs w:val="28"/>
        </w:rPr>
        <w:t xml:space="preserve"> </w:t>
      </w:r>
      <w:r w:rsidRPr="006C7708">
        <w:rPr>
          <w:sz w:val="28"/>
          <w:szCs w:val="28"/>
        </w:rPr>
        <w:t xml:space="preserve">the Task Force </w:t>
      </w:r>
      <w:r w:rsidR="00FA00A0" w:rsidRPr="006C7708">
        <w:rPr>
          <w:sz w:val="28"/>
          <w:szCs w:val="28"/>
        </w:rPr>
        <w:t>as well as its shortcomings</w:t>
      </w:r>
    </w:p>
    <w:p w14:paraId="0C902413" w14:textId="3F09A29B" w:rsidR="00774D43" w:rsidRPr="006C7708" w:rsidRDefault="00774D43" w:rsidP="001E3444">
      <w:pPr>
        <w:pStyle w:val="ListParagraph"/>
        <w:numPr>
          <w:ilvl w:val="0"/>
          <w:numId w:val="1"/>
        </w:numPr>
        <w:spacing w:line="360" w:lineRule="auto"/>
        <w:jc w:val="both"/>
        <w:rPr>
          <w:sz w:val="28"/>
          <w:szCs w:val="28"/>
        </w:rPr>
      </w:pPr>
      <w:r w:rsidRPr="006C7708">
        <w:rPr>
          <w:sz w:val="28"/>
          <w:szCs w:val="28"/>
        </w:rPr>
        <w:t xml:space="preserve">Finally, I would like to set this report in the broader context of the Future of Europe and specifically </w:t>
      </w:r>
      <w:r w:rsidR="00FA00A0" w:rsidRPr="006C7708">
        <w:rPr>
          <w:sz w:val="28"/>
          <w:szCs w:val="28"/>
        </w:rPr>
        <w:t xml:space="preserve">the future of </w:t>
      </w:r>
      <w:r w:rsidRPr="006C7708">
        <w:rPr>
          <w:sz w:val="28"/>
          <w:szCs w:val="28"/>
        </w:rPr>
        <w:t xml:space="preserve">European </w:t>
      </w:r>
      <w:r w:rsidR="00FA00A0" w:rsidRPr="006C7708">
        <w:rPr>
          <w:sz w:val="28"/>
          <w:szCs w:val="28"/>
        </w:rPr>
        <w:t>democracy</w:t>
      </w:r>
      <w:r w:rsidRPr="006C7708">
        <w:rPr>
          <w:sz w:val="28"/>
          <w:szCs w:val="28"/>
        </w:rPr>
        <w:t>.</w:t>
      </w:r>
    </w:p>
    <w:p w14:paraId="10C4A687" w14:textId="77777777" w:rsidR="004A73D7" w:rsidRPr="006C7708" w:rsidRDefault="004A73D7" w:rsidP="001E3444">
      <w:pPr>
        <w:pStyle w:val="ListParagraph"/>
        <w:spacing w:line="360" w:lineRule="auto"/>
        <w:jc w:val="both"/>
        <w:rPr>
          <w:sz w:val="28"/>
          <w:szCs w:val="28"/>
        </w:rPr>
      </w:pPr>
    </w:p>
    <w:p w14:paraId="6335304E" w14:textId="77777777" w:rsidR="004A73D7" w:rsidRPr="006C7708" w:rsidRDefault="004A73D7" w:rsidP="001E3444">
      <w:pPr>
        <w:pStyle w:val="ListParagraph"/>
        <w:numPr>
          <w:ilvl w:val="0"/>
          <w:numId w:val="2"/>
        </w:numPr>
        <w:spacing w:line="360" w:lineRule="auto"/>
        <w:jc w:val="both"/>
        <w:rPr>
          <w:b/>
          <w:sz w:val="28"/>
          <w:szCs w:val="28"/>
        </w:rPr>
      </w:pPr>
      <w:r w:rsidRPr="006C7708">
        <w:rPr>
          <w:b/>
          <w:sz w:val="28"/>
          <w:szCs w:val="28"/>
        </w:rPr>
        <w:t>A brief history of the concept of subsidiarity</w:t>
      </w:r>
    </w:p>
    <w:p w14:paraId="0A8B0112" w14:textId="3B68D03E" w:rsidR="00D92414" w:rsidRPr="006C7708" w:rsidRDefault="00A3302B" w:rsidP="001E3444">
      <w:pPr>
        <w:spacing w:line="360" w:lineRule="auto"/>
        <w:jc w:val="both"/>
        <w:rPr>
          <w:sz w:val="28"/>
          <w:szCs w:val="28"/>
        </w:rPr>
      </w:pPr>
      <w:r w:rsidRPr="006C7708">
        <w:rPr>
          <w:sz w:val="28"/>
          <w:szCs w:val="28"/>
        </w:rPr>
        <w:t>Despite having its roots in European political philosophy, t</w:t>
      </w:r>
      <w:r w:rsidR="005C05A4" w:rsidRPr="006C7708">
        <w:rPr>
          <w:sz w:val="28"/>
          <w:szCs w:val="28"/>
        </w:rPr>
        <w:t xml:space="preserve">he principle of subsidiarity </w:t>
      </w:r>
      <w:r w:rsidRPr="006C7708">
        <w:rPr>
          <w:sz w:val="28"/>
          <w:szCs w:val="28"/>
        </w:rPr>
        <w:t xml:space="preserve">was not used in the context of the European Community until </w:t>
      </w:r>
      <w:r w:rsidR="004A73D7" w:rsidRPr="006C7708">
        <w:rPr>
          <w:sz w:val="28"/>
          <w:szCs w:val="28"/>
        </w:rPr>
        <w:t>1986</w:t>
      </w:r>
      <w:r w:rsidRPr="006C7708">
        <w:rPr>
          <w:sz w:val="28"/>
          <w:szCs w:val="28"/>
        </w:rPr>
        <w:t>. It was first mentioned in the Single European Act with regards environmental policy. It coincided with the increase in usage of majority voting, as opposed to unanimity, and the concern of Member States that the European Community was encroaching on their sovereign power. Therefore</w:t>
      </w:r>
      <w:r w:rsidR="004A73D7" w:rsidRPr="006C7708">
        <w:rPr>
          <w:sz w:val="28"/>
          <w:szCs w:val="28"/>
        </w:rPr>
        <w:t xml:space="preserve"> </w:t>
      </w:r>
      <w:r w:rsidR="004A73D7" w:rsidRPr="006C7708">
        <w:rPr>
          <w:sz w:val="28"/>
          <w:szCs w:val="28"/>
        </w:rPr>
        <w:lastRenderedPageBreak/>
        <w:t>support for</w:t>
      </w:r>
      <w:r w:rsidRPr="006C7708">
        <w:rPr>
          <w:sz w:val="28"/>
          <w:szCs w:val="28"/>
        </w:rPr>
        <w:t xml:space="preserve"> the idea of subsidiarity as a tool </w:t>
      </w:r>
      <w:r w:rsidR="004A73D7" w:rsidRPr="006C7708">
        <w:rPr>
          <w:sz w:val="28"/>
          <w:szCs w:val="28"/>
        </w:rPr>
        <w:t>to assign limits to the growth of the Community’s powers grew substantially until being enshrined in article 3(b) of the Maastricht treaty.</w:t>
      </w:r>
      <w:r w:rsidR="00FA00A0" w:rsidRPr="006C7708">
        <w:rPr>
          <w:sz w:val="28"/>
          <w:szCs w:val="28"/>
        </w:rPr>
        <w:t xml:space="preserve"> This article provides that ‘in areas which do not fall within its exclusive competence, the Community shall take action in accordance with the principle of subsidiarity, only if and in so far as the objectives of the proposed action</w:t>
      </w:r>
      <w:r w:rsidR="007C510E">
        <w:rPr>
          <w:sz w:val="28"/>
          <w:szCs w:val="28"/>
        </w:rPr>
        <w:t xml:space="preserve"> </w:t>
      </w:r>
      <w:r w:rsidR="00FA00A0" w:rsidRPr="006C7708">
        <w:rPr>
          <w:sz w:val="28"/>
          <w:szCs w:val="28"/>
        </w:rPr>
        <w:t xml:space="preserve">cannot be sufficiently achieved by the Member States and can therefore, by reason of the scale or effects of the proposed action, be better achieved by the Community.’ </w:t>
      </w:r>
    </w:p>
    <w:p w14:paraId="11B4D620" w14:textId="30827539" w:rsidR="00286370" w:rsidRPr="006C7708" w:rsidRDefault="00797E94" w:rsidP="001E3444">
      <w:pPr>
        <w:spacing w:line="360" w:lineRule="auto"/>
        <w:jc w:val="both"/>
        <w:rPr>
          <w:sz w:val="28"/>
          <w:szCs w:val="28"/>
        </w:rPr>
      </w:pPr>
      <w:r w:rsidRPr="006C7708">
        <w:rPr>
          <w:sz w:val="28"/>
          <w:szCs w:val="28"/>
        </w:rPr>
        <w:t>The Treaty of Lisbon</w:t>
      </w:r>
      <w:r w:rsidR="00267371" w:rsidRPr="006C7708">
        <w:rPr>
          <w:sz w:val="28"/>
          <w:szCs w:val="28"/>
        </w:rPr>
        <w:t xml:space="preserve"> set </w:t>
      </w:r>
      <w:r w:rsidRPr="006C7708">
        <w:rPr>
          <w:sz w:val="28"/>
          <w:szCs w:val="28"/>
        </w:rPr>
        <w:t xml:space="preserve">up the Early Warning Mechanism </w:t>
      </w:r>
      <w:r w:rsidR="000A0DC8" w:rsidRPr="006C7708">
        <w:rPr>
          <w:sz w:val="28"/>
          <w:szCs w:val="28"/>
        </w:rPr>
        <w:t>elevating national parliaments to the position of ‘subsidiarity watchdogs’ (Granat, 2018)</w:t>
      </w:r>
      <w:r w:rsidR="00FA00A0" w:rsidRPr="006C7708">
        <w:rPr>
          <w:rStyle w:val="FootnoteReference"/>
          <w:sz w:val="28"/>
          <w:szCs w:val="28"/>
        </w:rPr>
        <w:footnoteReference w:id="1"/>
      </w:r>
      <w:r w:rsidR="000A0DC8" w:rsidRPr="006C7708">
        <w:rPr>
          <w:sz w:val="28"/>
          <w:szCs w:val="28"/>
        </w:rPr>
        <w:t xml:space="preserve">. </w:t>
      </w:r>
      <w:r w:rsidR="00267371" w:rsidRPr="006C7708">
        <w:rPr>
          <w:sz w:val="28"/>
          <w:szCs w:val="28"/>
        </w:rPr>
        <w:t xml:space="preserve">However in nine years, only three ‘yellow’ card procedures were started and no orange one, showing the process’s limitations. </w:t>
      </w:r>
    </w:p>
    <w:p w14:paraId="61874125" w14:textId="002B133D" w:rsidR="00FF11FF" w:rsidRPr="006C7708" w:rsidRDefault="004A73D7" w:rsidP="001E3444">
      <w:pPr>
        <w:spacing w:line="360" w:lineRule="auto"/>
        <w:jc w:val="both"/>
        <w:rPr>
          <w:sz w:val="28"/>
          <w:szCs w:val="28"/>
        </w:rPr>
      </w:pPr>
      <w:r w:rsidRPr="006C7708">
        <w:rPr>
          <w:sz w:val="28"/>
          <w:szCs w:val="28"/>
        </w:rPr>
        <w:t>Looking back helps us understand the context for this Task Force report.</w:t>
      </w:r>
      <w:r w:rsidR="00900F82" w:rsidRPr="006C7708">
        <w:rPr>
          <w:sz w:val="28"/>
          <w:szCs w:val="28"/>
        </w:rPr>
        <w:t xml:space="preserve"> Maastricht marked the shift from a ‘permissive consensus to a constraining dissensus’ (Hooghe and Marks, 2009)</w:t>
      </w:r>
      <w:r w:rsidR="00E1645E" w:rsidRPr="006C7708">
        <w:rPr>
          <w:rStyle w:val="FootnoteReference"/>
          <w:sz w:val="28"/>
          <w:szCs w:val="28"/>
        </w:rPr>
        <w:footnoteReference w:id="2"/>
      </w:r>
      <w:r w:rsidR="00900F82" w:rsidRPr="006C7708">
        <w:rPr>
          <w:sz w:val="28"/>
          <w:szCs w:val="28"/>
        </w:rPr>
        <w:t xml:space="preserve"> when it comes to European Union affairs and policies. The subsidiarity principle was introduced at a time of public contestation over the legitimacy of the </w:t>
      </w:r>
      <w:r w:rsidR="00136B04" w:rsidRPr="006C7708">
        <w:rPr>
          <w:sz w:val="28"/>
          <w:szCs w:val="28"/>
        </w:rPr>
        <w:t>European integration project. 25</w:t>
      </w:r>
      <w:r w:rsidR="00900F82" w:rsidRPr="006C7708">
        <w:rPr>
          <w:sz w:val="28"/>
          <w:szCs w:val="28"/>
        </w:rPr>
        <w:t xml:space="preserve"> years on, the landscape has not changed </w:t>
      </w:r>
      <w:r w:rsidR="00267371" w:rsidRPr="006C7708">
        <w:rPr>
          <w:sz w:val="28"/>
          <w:szCs w:val="28"/>
        </w:rPr>
        <w:t xml:space="preserve">much </w:t>
      </w:r>
      <w:r w:rsidR="00900F82" w:rsidRPr="006C7708">
        <w:rPr>
          <w:sz w:val="28"/>
          <w:szCs w:val="28"/>
        </w:rPr>
        <w:t xml:space="preserve">except for </w:t>
      </w:r>
      <w:r w:rsidR="00267371" w:rsidRPr="006C7708">
        <w:rPr>
          <w:sz w:val="28"/>
          <w:szCs w:val="28"/>
        </w:rPr>
        <w:t xml:space="preserve">the fact that </w:t>
      </w:r>
      <w:r w:rsidR="00900F82" w:rsidRPr="006C7708">
        <w:rPr>
          <w:sz w:val="28"/>
          <w:szCs w:val="28"/>
        </w:rPr>
        <w:t xml:space="preserve">this contestation </w:t>
      </w:r>
      <w:r w:rsidR="00267371" w:rsidRPr="006C7708">
        <w:rPr>
          <w:sz w:val="28"/>
          <w:szCs w:val="28"/>
        </w:rPr>
        <w:t>has</w:t>
      </w:r>
      <w:r w:rsidR="00900F82" w:rsidRPr="006C7708">
        <w:rPr>
          <w:sz w:val="28"/>
          <w:szCs w:val="28"/>
        </w:rPr>
        <w:t xml:space="preserve"> taken shape</w:t>
      </w:r>
      <w:r w:rsidR="00267371" w:rsidRPr="006C7708">
        <w:rPr>
          <w:sz w:val="28"/>
          <w:szCs w:val="28"/>
        </w:rPr>
        <w:t xml:space="preserve"> in populist political parties whose support is increasing across </w:t>
      </w:r>
      <w:r w:rsidR="003777B7" w:rsidRPr="006C7708">
        <w:rPr>
          <w:sz w:val="28"/>
          <w:szCs w:val="28"/>
        </w:rPr>
        <w:t>a significant number of</w:t>
      </w:r>
      <w:r w:rsidR="00267371" w:rsidRPr="006C7708">
        <w:rPr>
          <w:sz w:val="28"/>
          <w:szCs w:val="28"/>
        </w:rPr>
        <w:t xml:space="preserve"> Member States.</w:t>
      </w:r>
    </w:p>
    <w:p w14:paraId="1CDB1923" w14:textId="77777777" w:rsidR="00A332B1" w:rsidRDefault="00A332B1" w:rsidP="001E3444">
      <w:pPr>
        <w:spacing w:line="360" w:lineRule="auto"/>
        <w:jc w:val="both"/>
        <w:rPr>
          <w:sz w:val="28"/>
          <w:szCs w:val="28"/>
        </w:rPr>
      </w:pPr>
    </w:p>
    <w:p w14:paraId="04A90E24" w14:textId="77777777" w:rsidR="006C7708" w:rsidRDefault="006C7708" w:rsidP="001E3444">
      <w:pPr>
        <w:spacing w:line="360" w:lineRule="auto"/>
        <w:jc w:val="both"/>
        <w:rPr>
          <w:sz w:val="28"/>
          <w:szCs w:val="28"/>
        </w:rPr>
      </w:pPr>
    </w:p>
    <w:p w14:paraId="09F513A9" w14:textId="77777777" w:rsidR="006C7708" w:rsidRPr="006C7708" w:rsidRDefault="006C7708" w:rsidP="001E3444">
      <w:pPr>
        <w:spacing w:line="360" w:lineRule="auto"/>
        <w:jc w:val="both"/>
        <w:rPr>
          <w:sz w:val="28"/>
          <w:szCs w:val="28"/>
        </w:rPr>
      </w:pPr>
    </w:p>
    <w:p w14:paraId="1C600E63" w14:textId="77777777" w:rsidR="00D75528" w:rsidRPr="006C7708" w:rsidRDefault="004A73D7" w:rsidP="001E3444">
      <w:pPr>
        <w:pStyle w:val="ListParagraph"/>
        <w:numPr>
          <w:ilvl w:val="0"/>
          <w:numId w:val="2"/>
        </w:numPr>
        <w:spacing w:line="360" w:lineRule="auto"/>
        <w:jc w:val="both"/>
        <w:rPr>
          <w:b/>
          <w:sz w:val="28"/>
          <w:szCs w:val="28"/>
        </w:rPr>
      </w:pPr>
      <w:r w:rsidRPr="006C7708">
        <w:rPr>
          <w:b/>
          <w:sz w:val="28"/>
          <w:szCs w:val="28"/>
        </w:rPr>
        <w:lastRenderedPageBreak/>
        <w:t>What are the key points of the report?</w:t>
      </w:r>
    </w:p>
    <w:p w14:paraId="2C14A80F" w14:textId="0FB07B2C" w:rsidR="001E3444" w:rsidRPr="006C7708" w:rsidRDefault="001E3444" w:rsidP="001E3444">
      <w:pPr>
        <w:spacing w:line="360" w:lineRule="auto"/>
        <w:jc w:val="both"/>
        <w:rPr>
          <w:sz w:val="28"/>
          <w:szCs w:val="28"/>
        </w:rPr>
      </w:pPr>
      <w:r w:rsidRPr="006C7708">
        <w:rPr>
          <w:sz w:val="28"/>
          <w:szCs w:val="28"/>
          <w:lang w:val="en-US"/>
        </w:rPr>
        <w:t>Moving onto the report itself, it is worth mentioning that the Task Force was set up in a c</w:t>
      </w:r>
      <w:r w:rsidR="00136B04" w:rsidRPr="006C7708">
        <w:rPr>
          <w:sz w:val="28"/>
          <w:szCs w:val="28"/>
          <w:lang w:val="en-US"/>
        </w:rPr>
        <w:t>ontext of reflection about the F</w:t>
      </w:r>
      <w:r w:rsidRPr="006C7708">
        <w:rPr>
          <w:sz w:val="28"/>
          <w:szCs w:val="28"/>
          <w:lang w:val="en-US"/>
        </w:rPr>
        <w:t>uture of Europe and the questions of democratic and legitimacy deficit</w:t>
      </w:r>
      <w:r w:rsidR="00136B04" w:rsidRPr="006C7708">
        <w:rPr>
          <w:sz w:val="28"/>
          <w:szCs w:val="28"/>
          <w:lang w:val="en-US"/>
        </w:rPr>
        <w:t>s</w:t>
      </w:r>
      <w:r w:rsidRPr="006C7708">
        <w:rPr>
          <w:sz w:val="28"/>
          <w:szCs w:val="28"/>
          <w:lang w:val="en-US"/>
        </w:rPr>
        <w:t xml:space="preserve"> that the European Commission and the European Union as a whole have not yet resolved. </w:t>
      </w:r>
    </w:p>
    <w:p w14:paraId="2F8014DA" w14:textId="77777777" w:rsidR="001E3444" w:rsidRPr="006C7708" w:rsidRDefault="001E3444" w:rsidP="001E3444">
      <w:pPr>
        <w:spacing w:line="360" w:lineRule="auto"/>
        <w:jc w:val="both"/>
        <w:rPr>
          <w:sz w:val="28"/>
          <w:szCs w:val="28"/>
        </w:rPr>
      </w:pPr>
      <w:r w:rsidRPr="006C7708">
        <w:rPr>
          <w:sz w:val="28"/>
          <w:szCs w:val="28"/>
          <w:lang w:val="en-US"/>
        </w:rPr>
        <w:t>The President of the European Commission set three objectives to the Task Force:</w:t>
      </w:r>
    </w:p>
    <w:p w14:paraId="5FACBB05" w14:textId="45E40DD4" w:rsidR="001E3444" w:rsidRPr="006C7708" w:rsidRDefault="001E3444" w:rsidP="00BF662C">
      <w:pPr>
        <w:pStyle w:val="ListParagraph"/>
        <w:numPr>
          <w:ilvl w:val="0"/>
          <w:numId w:val="3"/>
        </w:numPr>
        <w:spacing w:line="360" w:lineRule="auto"/>
        <w:jc w:val="both"/>
        <w:rPr>
          <w:sz w:val="28"/>
          <w:szCs w:val="28"/>
        </w:rPr>
      </w:pPr>
      <w:r w:rsidRPr="006C7708">
        <w:rPr>
          <w:sz w:val="28"/>
          <w:szCs w:val="28"/>
          <w:lang w:val="en-US"/>
        </w:rPr>
        <w:t>How to better ap</w:t>
      </w:r>
      <w:r w:rsidR="00366072" w:rsidRPr="006C7708">
        <w:rPr>
          <w:sz w:val="28"/>
          <w:szCs w:val="28"/>
          <w:lang w:val="en-US"/>
        </w:rPr>
        <w:t>ply the principle of subsidiarit</w:t>
      </w:r>
      <w:r w:rsidRPr="006C7708">
        <w:rPr>
          <w:sz w:val="28"/>
          <w:szCs w:val="28"/>
          <w:lang w:val="en-US"/>
        </w:rPr>
        <w:t>y and proportionality with regards preparation and implementation of legislation.</w:t>
      </w:r>
    </w:p>
    <w:p w14:paraId="008FA821" w14:textId="77777777" w:rsidR="001E3444" w:rsidRPr="006C7708" w:rsidRDefault="001E3444" w:rsidP="00BF662C">
      <w:pPr>
        <w:pStyle w:val="ListParagraph"/>
        <w:numPr>
          <w:ilvl w:val="0"/>
          <w:numId w:val="3"/>
        </w:numPr>
        <w:spacing w:line="360" w:lineRule="auto"/>
        <w:jc w:val="both"/>
        <w:rPr>
          <w:sz w:val="28"/>
          <w:szCs w:val="28"/>
        </w:rPr>
      </w:pPr>
      <w:r w:rsidRPr="006C7708">
        <w:rPr>
          <w:sz w:val="28"/>
          <w:szCs w:val="28"/>
          <w:lang w:val="en-US"/>
        </w:rPr>
        <w:t xml:space="preserve">How to better involve the regional and local level in policy-making </w:t>
      </w:r>
    </w:p>
    <w:p w14:paraId="2231B063" w14:textId="77777777" w:rsidR="001E3444" w:rsidRPr="006C7708" w:rsidRDefault="001E3444" w:rsidP="00BF662C">
      <w:pPr>
        <w:pStyle w:val="ListParagraph"/>
        <w:numPr>
          <w:ilvl w:val="0"/>
          <w:numId w:val="3"/>
        </w:numPr>
        <w:spacing w:line="360" w:lineRule="auto"/>
        <w:jc w:val="both"/>
        <w:rPr>
          <w:sz w:val="28"/>
          <w:szCs w:val="28"/>
        </w:rPr>
      </w:pPr>
      <w:r w:rsidRPr="006C7708">
        <w:rPr>
          <w:sz w:val="28"/>
          <w:szCs w:val="28"/>
          <w:lang w:val="en-US"/>
        </w:rPr>
        <w:t>Identify policies that could be re-delegated to the national level</w:t>
      </w:r>
    </w:p>
    <w:p w14:paraId="42A1E7E9" w14:textId="21D44EF8" w:rsidR="00C05971" w:rsidRPr="006C7708" w:rsidRDefault="001E3444" w:rsidP="001E3444">
      <w:pPr>
        <w:spacing w:line="360" w:lineRule="auto"/>
        <w:jc w:val="both"/>
        <w:rPr>
          <w:sz w:val="28"/>
          <w:szCs w:val="28"/>
          <w:lang w:val="en-US"/>
        </w:rPr>
      </w:pPr>
      <w:r w:rsidRPr="006C7708">
        <w:rPr>
          <w:sz w:val="28"/>
          <w:szCs w:val="28"/>
          <w:lang w:val="en-US"/>
        </w:rPr>
        <w:t>Overall, the recommendations are not radical but offer welcome clarification. In particular, it acknowledges the shortcomings of the Early Warning Mechanism</w:t>
      </w:r>
      <w:r w:rsidR="00366072" w:rsidRPr="006C7708">
        <w:rPr>
          <w:sz w:val="28"/>
          <w:szCs w:val="28"/>
          <w:lang w:val="en-US"/>
        </w:rPr>
        <w:t xml:space="preserve"> (EWM)</w:t>
      </w:r>
      <w:r w:rsidRPr="006C7708">
        <w:rPr>
          <w:sz w:val="28"/>
          <w:szCs w:val="28"/>
          <w:lang w:val="en-US"/>
        </w:rPr>
        <w:t xml:space="preserve"> put in place by </w:t>
      </w:r>
      <w:r w:rsidR="006C7708" w:rsidRPr="006C7708">
        <w:rPr>
          <w:sz w:val="28"/>
          <w:szCs w:val="28"/>
          <w:lang w:val="en-US"/>
        </w:rPr>
        <w:t>the Lisbon Treaty but which can</w:t>
      </w:r>
      <w:r w:rsidRPr="006C7708">
        <w:rPr>
          <w:sz w:val="28"/>
          <w:szCs w:val="28"/>
          <w:lang w:val="en-US"/>
        </w:rPr>
        <w:t>not be remedied without a treaty change. Therefore it recommend</w:t>
      </w:r>
      <w:r w:rsidR="006C7708" w:rsidRPr="006C7708">
        <w:rPr>
          <w:sz w:val="28"/>
          <w:szCs w:val="28"/>
          <w:lang w:val="en-US"/>
        </w:rPr>
        <w:t>s that the Commission interpret</w:t>
      </w:r>
      <w:r w:rsidRPr="006C7708">
        <w:rPr>
          <w:sz w:val="28"/>
          <w:szCs w:val="28"/>
          <w:lang w:val="en-US"/>
        </w:rPr>
        <w:t xml:space="preserve"> flexibly the 8-week deadline for national parliaments to submit their reasoned opinions. The same flexibility should also apply if a significant number of reasoned opinions, but below the threshold for a yellow card, are submitted. </w:t>
      </w:r>
      <w:r w:rsidR="00366072" w:rsidRPr="006C7708">
        <w:rPr>
          <w:sz w:val="28"/>
          <w:szCs w:val="28"/>
          <w:lang w:val="en-US"/>
        </w:rPr>
        <w:t xml:space="preserve">It is </w:t>
      </w:r>
      <w:r w:rsidR="00C05971" w:rsidRPr="006C7708">
        <w:rPr>
          <w:sz w:val="28"/>
          <w:szCs w:val="28"/>
          <w:lang w:val="en-US"/>
        </w:rPr>
        <w:t xml:space="preserve">also </w:t>
      </w:r>
      <w:r w:rsidR="00366072" w:rsidRPr="006C7708">
        <w:rPr>
          <w:sz w:val="28"/>
          <w:szCs w:val="28"/>
          <w:lang w:val="en-US"/>
        </w:rPr>
        <w:t xml:space="preserve">recommending a lowering of the yellow card threshold, which would force the Commission to justify </w:t>
      </w:r>
      <w:proofErr w:type="gramStart"/>
      <w:r w:rsidR="00366072" w:rsidRPr="006C7708">
        <w:rPr>
          <w:sz w:val="28"/>
          <w:szCs w:val="28"/>
          <w:lang w:val="en-US"/>
        </w:rPr>
        <w:t>more</w:t>
      </w:r>
      <w:proofErr w:type="gramEnd"/>
      <w:r w:rsidR="00366072" w:rsidRPr="006C7708">
        <w:rPr>
          <w:sz w:val="28"/>
          <w:szCs w:val="28"/>
          <w:lang w:val="en-US"/>
        </w:rPr>
        <w:t xml:space="preserve"> thoroughly</w:t>
      </w:r>
      <w:r w:rsidR="00C364D6" w:rsidRPr="006C7708">
        <w:rPr>
          <w:sz w:val="28"/>
          <w:szCs w:val="28"/>
          <w:lang w:val="en-US"/>
        </w:rPr>
        <w:t xml:space="preserve"> its legislative proposals</w:t>
      </w:r>
      <w:r w:rsidR="00366072" w:rsidRPr="006C7708">
        <w:rPr>
          <w:sz w:val="28"/>
          <w:szCs w:val="28"/>
          <w:lang w:val="en-US"/>
        </w:rPr>
        <w:t xml:space="preserve">. </w:t>
      </w:r>
    </w:p>
    <w:p w14:paraId="7970D1F4" w14:textId="77777777" w:rsidR="00E674A7" w:rsidRPr="006C7708" w:rsidRDefault="00E674A7" w:rsidP="001E3444">
      <w:pPr>
        <w:spacing w:line="360" w:lineRule="auto"/>
        <w:jc w:val="both"/>
        <w:rPr>
          <w:sz w:val="28"/>
          <w:szCs w:val="28"/>
          <w:lang w:val="en-US"/>
        </w:rPr>
      </w:pPr>
    </w:p>
    <w:p w14:paraId="546765D6" w14:textId="77777777" w:rsidR="00C05971" w:rsidRPr="006C7708" w:rsidRDefault="001E3444" w:rsidP="001E3444">
      <w:pPr>
        <w:spacing w:line="360" w:lineRule="auto"/>
        <w:jc w:val="both"/>
        <w:rPr>
          <w:sz w:val="28"/>
          <w:szCs w:val="28"/>
          <w:lang w:val="en-US"/>
        </w:rPr>
      </w:pPr>
      <w:r w:rsidRPr="006C7708">
        <w:rPr>
          <w:sz w:val="28"/>
          <w:szCs w:val="28"/>
          <w:lang w:val="en-US"/>
        </w:rPr>
        <w:t>The overall tone is for the Commission and the European co-legislators</w:t>
      </w:r>
      <w:r w:rsidR="00C05971" w:rsidRPr="006C7708">
        <w:rPr>
          <w:sz w:val="28"/>
          <w:szCs w:val="28"/>
          <w:lang w:val="en-US"/>
        </w:rPr>
        <w:t>:</w:t>
      </w:r>
    </w:p>
    <w:p w14:paraId="76F29735" w14:textId="31AA9B22" w:rsidR="00C05971" w:rsidRPr="006C7708" w:rsidRDefault="00136B04" w:rsidP="00C05971">
      <w:pPr>
        <w:pStyle w:val="ListParagraph"/>
        <w:numPr>
          <w:ilvl w:val="0"/>
          <w:numId w:val="5"/>
        </w:numPr>
        <w:spacing w:line="360" w:lineRule="auto"/>
        <w:jc w:val="both"/>
        <w:rPr>
          <w:sz w:val="28"/>
          <w:szCs w:val="28"/>
        </w:rPr>
      </w:pPr>
      <w:r w:rsidRPr="006C7708">
        <w:rPr>
          <w:sz w:val="28"/>
          <w:szCs w:val="28"/>
          <w:lang w:val="en-US"/>
        </w:rPr>
        <w:t>To</w:t>
      </w:r>
      <w:r w:rsidR="001E3444" w:rsidRPr="006C7708">
        <w:rPr>
          <w:sz w:val="28"/>
          <w:szCs w:val="28"/>
          <w:lang w:val="en-US"/>
        </w:rPr>
        <w:t xml:space="preserve"> be more attuned to the national, regional and local levels, </w:t>
      </w:r>
    </w:p>
    <w:p w14:paraId="331A9CB3" w14:textId="790E2FBB" w:rsidR="00C05971" w:rsidRPr="006C7708" w:rsidRDefault="00136B04" w:rsidP="00C05971">
      <w:pPr>
        <w:pStyle w:val="ListParagraph"/>
        <w:numPr>
          <w:ilvl w:val="0"/>
          <w:numId w:val="5"/>
        </w:numPr>
        <w:spacing w:line="360" w:lineRule="auto"/>
        <w:jc w:val="both"/>
        <w:rPr>
          <w:sz w:val="28"/>
          <w:szCs w:val="28"/>
        </w:rPr>
      </w:pPr>
      <w:r w:rsidRPr="006C7708">
        <w:rPr>
          <w:sz w:val="28"/>
          <w:szCs w:val="28"/>
          <w:lang w:val="en-US"/>
        </w:rPr>
        <w:lastRenderedPageBreak/>
        <w:t xml:space="preserve">To </w:t>
      </w:r>
      <w:r w:rsidR="001E3444" w:rsidRPr="006C7708">
        <w:rPr>
          <w:sz w:val="28"/>
          <w:szCs w:val="28"/>
          <w:lang w:val="en-US"/>
        </w:rPr>
        <w:t>give more visibility to how they use the inputs</w:t>
      </w:r>
      <w:r w:rsidR="00C05971" w:rsidRPr="006C7708">
        <w:rPr>
          <w:sz w:val="28"/>
          <w:szCs w:val="28"/>
          <w:lang w:val="en-US"/>
        </w:rPr>
        <w:t xml:space="preserve"> from regional and national parliaments</w:t>
      </w:r>
      <w:r w:rsidR="001E3444" w:rsidRPr="006C7708">
        <w:rPr>
          <w:sz w:val="28"/>
          <w:szCs w:val="28"/>
          <w:lang w:val="en-US"/>
        </w:rPr>
        <w:t xml:space="preserve"> and </w:t>
      </w:r>
    </w:p>
    <w:p w14:paraId="67489ADC" w14:textId="304A101C" w:rsidR="001E3444" w:rsidRPr="006C7708" w:rsidRDefault="00136B04" w:rsidP="00C05971">
      <w:pPr>
        <w:pStyle w:val="ListParagraph"/>
        <w:numPr>
          <w:ilvl w:val="0"/>
          <w:numId w:val="5"/>
        </w:numPr>
        <w:spacing w:line="360" w:lineRule="auto"/>
        <w:jc w:val="both"/>
        <w:rPr>
          <w:sz w:val="28"/>
          <w:szCs w:val="28"/>
        </w:rPr>
      </w:pPr>
      <w:r w:rsidRPr="006C7708">
        <w:rPr>
          <w:sz w:val="28"/>
          <w:szCs w:val="28"/>
          <w:lang w:val="en-US"/>
        </w:rPr>
        <w:t xml:space="preserve">To </w:t>
      </w:r>
      <w:r w:rsidR="001E3444" w:rsidRPr="006C7708">
        <w:rPr>
          <w:sz w:val="28"/>
          <w:szCs w:val="28"/>
          <w:lang w:val="en-US"/>
        </w:rPr>
        <w:t xml:space="preserve">promote increased coordination and </w:t>
      </w:r>
      <w:proofErr w:type="gramStart"/>
      <w:r w:rsidR="001E3444" w:rsidRPr="006C7708">
        <w:rPr>
          <w:sz w:val="28"/>
          <w:szCs w:val="28"/>
          <w:lang w:val="en-US"/>
        </w:rPr>
        <w:t>information-sharing</w:t>
      </w:r>
      <w:proofErr w:type="gramEnd"/>
      <w:r w:rsidR="001E3444" w:rsidRPr="006C7708">
        <w:rPr>
          <w:sz w:val="28"/>
          <w:szCs w:val="28"/>
          <w:lang w:val="en-US"/>
        </w:rPr>
        <w:t xml:space="preserve"> between national and regional parliaments. </w:t>
      </w:r>
    </w:p>
    <w:p w14:paraId="6769C78B" w14:textId="010D01B1" w:rsidR="001E3444" w:rsidRPr="006C7708" w:rsidRDefault="001E3444" w:rsidP="001E3444">
      <w:pPr>
        <w:spacing w:line="360" w:lineRule="auto"/>
        <w:jc w:val="both"/>
        <w:rPr>
          <w:sz w:val="28"/>
          <w:szCs w:val="28"/>
        </w:rPr>
      </w:pPr>
      <w:r w:rsidRPr="006C7708">
        <w:rPr>
          <w:sz w:val="28"/>
          <w:szCs w:val="28"/>
          <w:lang w:val="en-US"/>
        </w:rPr>
        <w:t xml:space="preserve">As often with the European Commission, </w:t>
      </w:r>
      <w:r w:rsidR="00136B04" w:rsidRPr="006C7708">
        <w:rPr>
          <w:sz w:val="28"/>
          <w:szCs w:val="28"/>
          <w:lang w:val="en-US"/>
        </w:rPr>
        <w:t>they consider that the problem lies in</w:t>
      </w:r>
      <w:r w:rsidRPr="006C7708">
        <w:rPr>
          <w:sz w:val="28"/>
          <w:szCs w:val="28"/>
          <w:lang w:val="en-US"/>
        </w:rPr>
        <w:t xml:space="preserve"> communicating better regarding the effective operation of the principle of subsidiarity</w:t>
      </w:r>
      <w:r w:rsidR="00136B04" w:rsidRPr="006C7708">
        <w:rPr>
          <w:sz w:val="28"/>
          <w:szCs w:val="28"/>
          <w:lang w:val="en-US"/>
        </w:rPr>
        <w:t>.</w:t>
      </w:r>
      <w:r w:rsidRPr="006C7708">
        <w:rPr>
          <w:sz w:val="28"/>
          <w:szCs w:val="28"/>
          <w:lang w:val="en-US"/>
        </w:rPr>
        <w:t xml:space="preserve"> Beyond a flexible implementation of the principle, the European Commission recommends a more consistent approach </w:t>
      </w:r>
      <w:r w:rsidR="00E67CE6" w:rsidRPr="006C7708">
        <w:rPr>
          <w:sz w:val="28"/>
          <w:szCs w:val="28"/>
          <w:lang w:val="en-US"/>
        </w:rPr>
        <w:t xml:space="preserve">as well. The Task Force’s main contribution regards </w:t>
      </w:r>
      <w:r w:rsidRPr="006C7708">
        <w:rPr>
          <w:sz w:val="28"/>
          <w:szCs w:val="28"/>
          <w:lang w:val="en-US"/>
        </w:rPr>
        <w:t>a model assessment grid to be used on subsidiarity and proportionality issues by all European institutions not only at the start of the legislative process but also during it</w:t>
      </w:r>
      <w:r w:rsidR="00E67CE6" w:rsidRPr="006C7708">
        <w:rPr>
          <w:sz w:val="28"/>
          <w:szCs w:val="28"/>
          <w:lang w:val="en-US"/>
        </w:rPr>
        <w:t xml:space="preserve"> as well as </w:t>
      </w:r>
      <w:r w:rsidR="00E67CE6" w:rsidRPr="006C7708">
        <w:rPr>
          <w:i/>
          <w:sz w:val="28"/>
          <w:szCs w:val="28"/>
          <w:lang w:val="en-US"/>
        </w:rPr>
        <w:t>ex post</w:t>
      </w:r>
      <w:r w:rsidRPr="006C7708">
        <w:rPr>
          <w:sz w:val="28"/>
          <w:szCs w:val="28"/>
          <w:lang w:val="en-US"/>
        </w:rPr>
        <w:t xml:space="preserve">. This is what the Task Force </w:t>
      </w:r>
      <w:proofErr w:type="gramStart"/>
      <w:r w:rsidRPr="006C7708">
        <w:rPr>
          <w:sz w:val="28"/>
          <w:szCs w:val="28"/>
          <w:lang w:val="en-US"/>
        </w:rPr>
        <w:t>brands</w:t>
      </w:r>
      <w:proofErr w:type="gramEnd"/>
      <w:r w:rsidRPr="006C7708">
        <w:rPr>
          <w:sz w:val="28"/>
          <w:szCs w:val="28"/>
          <w:lang w:val="en-US"/>
        </w:rPr>
        <w:t xml:space="preserve"> ‘active subsidiarity’ which </w:t>
      </w:r>
      <w:r w:rsidR="00C05971" w:rsidRPr="006C7708">
        <w:rPr>
          <w:sz w:val="28"/>
          <w:szCs w:val="28"/>
          <w:lang w:val="en-US"/>
        </w:rPr>
        <w:t>is grounded in</w:t>
      </w:r>
      <w:r w:rsidRPr="006C7708">
        <w:rPr>
          <w:sz w:val="28"/>
          <w:szCs w:val="28"/>
          <w:lang w:val="en-US"/>
        </w:rPr>
        <w:t xml:space="preserve"> the concept of European added value. On this aspect, it is interesting to see that the expert the Task Force called </w:t>
      </w:r>
      <w:r w:rsidR="00E67CE6" w:rsidRPr="006C7708">
        <w:rPr>
          <w:sz w:val="28"/>
          <w:szCs w:val="28"/>
          <w:lang w:val="en-US"/>
        </w:rPr>
        <w:t>upon</w:t>
      </w:r>
      <w:r w:rsidRPr="006C7708">
        <w:rPr>
          <w:sz w:val="28"/>
          <w:szCs w:val="28"/>
          <w:lang w:val="en-US"/>
        </w:rPr>
        <w:t xml:space="preserve">, Professor </w:t>
      </w:r>
      <w:proofErr w:type="spellStart"/>
      <w:r w:rsidRPr="006C7708">
        <w:rPr>
          <w:sz w:val="28"/>
          <w:szCs w:val="28"/>
          <w:lang w:val="en-US"/>
        </w:rPr>
        <w:t>Dougan</w:t>
      </w:r>
      <w:proofErr w:type="spellEnd"/>
      <w:r w:rsidR="00E67CE6" w:rsidRPr="006C7708">
        <w:rPr>
          <w:sz w:val="28"/>
          <w:szCs w:val="28"/>
          <w:lang w:val="en-US"/>
        </w:rPr>
        <w:t xml:space="preserve"> from the University of Liverpool</w:t>
      </w:r>
      <w:r w:rsidRPr="006C7708">
        <w:rPr>
          <w:sz w:val="28"/>
          <w:szCs w:val="28"/>
          <w:lang w:val="en-US"/>
        </w:rPr>
        <w:t>, specifically cautioned aga</w:t>
      </w:r>
      <w:r w:rsidR="00E67CE6" w:rsidRPr="006C7708">
        <w:rPr>
          <w:sz w:val="28"/>
          <w:szCs w:val="28"/>
          <w:lang w:val="en-US"/>
        </w:rPr>
        <w:t>inst this idea of ‘added-value’. He highlighted</w:t>
      </w:r>
      <w:r w:rsidRPr="006C7708">
        <w:rPr>
          <w:sz w:val="28"/>
          <w:szCs w:val="28"/>
          <w:lang w:val="en-US"/>
        </w:rPr>
        <w:t xml:space="preserve"> that the ‘added-value’ to having</w:t>
      </w:r>
      <w:r w:rsidR="00E67CE6" w:rsidRPr="006C7708">
        <w:rPr>
          <w:sz w:val="28"/>
          <w:szCs w:val="28"/>
          <w:lang w:val="en-US"/>
        </w:rPr>
        <w:t xml:space="preserve"> </w:t>
      </w:r>
      <w:r w:rsidRPr="006C7708">
        <w:rPr>
          <w:sz w:val="28"/>
          <w:szCs w:val="28"/>
          <w:lang w:val="en-US"/>
        </w:rPr>
        <w:t xml:space="preserve">EU action in cross-border situations would always be positive and render the test pointless, frustrating national and sub-national </w:t>
      </w:r>
      <w:r w:rsidR="00E67CE6" w:rsidRPr="006C7708">
        <w:rPr>
          <w:sz w:val="28"/>
          <w:szCs w:val="28"/>
          <w:lang w:val="en-US"/>
        </w:rPr>
        <w:t xml:space="preserve">levels </w:t>
      </w:r>
      <w:r w:rsidRPr="006C7708">
        <w:rPr>
          <w:sz w:val="28"/>
          <w:szCs w:val="28"/>
          <w:lang w:val="en-US"/>
        </w:rPr>
        <w:t xml:space="preserve">of governance. </w:t>
      </w:r>
    </w:p>
    <w:p w14:paraId="60190AF1" w14:textId="4A515876" w:rsidR="001E3444" w:rsidRPr="006C7708" w:rsidRDefault="001E3444" w:rsidP="001E3444">
      <w:pPr>
        <w:spacing w:line="360" w:lineRule="auto"/>
        <w:jc w:val="both"/>
        <w:rPr>
          <w:sz w:val="28"/>
          <w:szCs w:val="28"/>
        </w:rPr>
      </w:pPr>
      <w:r w:rsidRPr="006C7708">
        <w:rPr>
          <w:sz w:val="28"/>
          <w:szCs w:val="28"/>
          <w:lang w:val="en-US"/>
        </w:rPr>
        <w:t xml:space="preserve">Yet, the idea of translating the subsidiarity principle into ‘European added-value’ is pervasive throughout the entire report as a concept better understood by citizens. This brings us back to the idea of using subsidiarity </w:t>
      </w:r>
      <w:r w:rsidR="00E67CE6" w:rsidRPr="006C7708">
        <w:rPr>
          <w:sz w:val="28"/>
          <w:szCs w:val="28"/>
          <w:lang w:val="en-US"/>
        </w:rPr>
        <w:t xml:space="preserve">as a communication tool </w:t>
      </w:r>
      <w:r w:rsidRPr="006C7708">
        <w:rPr>
          <w:sz w:val="28"/>
          <w:szCs w:val="28"/>
          <w:lang w:val="en-US"/>
        </w:rPr>
        <w:t xml:space="preserve">to boost the European Union’s action’s legitimacy in the eyes of the citizens. </w:t>
      </w:r>
      <w:proofErr w:type="spellStart"/>
      <w:r w:rsidR="00E67CE6" w:rsidRPr="006C7708">
        <w:rPr>
          <w:sz w:val="28"/>
          <w:szCs w:val="28"/>
          <w:lang w:val="en-US"/>
        </w:rPr>
        <w:t>Dehousse</w:t>
      </w:r>
      <w:proofErr w:type="spellEnd"/>
      <w:r w:rsidR="00E67CE6" w:rsidRPr="006C7708">
        <w:rPr>
          <w:sz w:val="28"/>
          <w:szCs w:val="28"/>
          <w:lang w:val="en-US"/>
        </w:rPr>
        <w:t xml:space="preserve"> </w:t>
      </w:r>
      <w:proofErr w:type="spellStart"/>
      <w:r w:rsidR="00E67CE6" w:rsidRPr="006C7708">
        <w:rPr>
          <w:sz w:val="28"/>
          <w:szCs w:val="28"/>
          <w:lang w:val="en-US"/>
        </w:rPr>
        <w:t>analysed</w:t>
      </w:r>
      <w:proofErr w:type="spellEnd"/>
      <w:r w:rsidR="00E67CE6" w:rsidRPr="006C7708">
        <w:rPr>
          <w:sz w:val="28"/>
          <w:szCs w:val="28"/>
          <w:lang w:val="en-US"/>
        </w:rPr>
        <w:t xml:space="preserve"> in 1993 that ‘subsidiarity’s direct utility as a legal inst</w:t>
      </w:r>
      <w:r w:rsidR="00347421" w:rsidRPr="006C7708">
        <w:rPr>
          <w:sz w:val="28"/>
          <w:szCs w:val="28"/>
          <w:lang w:val="en-US"/>
        </w:rPr>
        <w:t>rument [was] limited’. He argued</w:t>
      </w:r>
      <w:r w:rsidR="00E67CE6" w:rsidRPr="006C7708">
        <w:rPr>
          <w:sz w:val="28"/>
          <w:szCs w:val="28"/>
          <w:lang w:val="en-US"/>
        </w:rPr>
        <w:t xml:space="preserve"> that ‘its introduction into the treaty should be understood as a strong political message: the Member States are not prepared to accept an unlimited extension of Community </w:t>
      </w:r>
      <w:r w:rsidR="00E67CE6" w:rsidRPr="006C7708">
        <w:rPr>
          <w:sz w:val="28"/>
          <w:szCs w:val="28"/>
          <w:lang w:val="en-US"/>
        </w:rPr>
        <w:lastRenderedPageBreak/>
        <w:t>competences’ (p.30)</w:t>
      </w:r>
      <w:r w:rsidR="000E0289" w:rsidRPr="006C7708">
        <w:rPr>
          <w:rStyle w:val="FootnoteReference"/>
          <w:sz w:val="28"/>
          <w:szCs w:val="28"/>
          <w:lang w:val="en-US"/>
        </w:rPr>
        <w:footnoteReference w:id="3"/>
      </w:r>
      <w:r w:rsidR="00E67CE6" w:rsidRPr="006C7708">
        <w:rPr>
          <w:sz w:val="28"/>
          <w:szCs w:val="28"/>
          <w:lang w:val="en-US"/>
        </w:rPr>
        <w:t xml:space="preserve">. He nonetheless concluded that no matter whether subsidiarity </w:t>
      </w:r>
      <w:r w:rsidR="00347421" w:rsidRPr="006C7708">
        <w:rPr>
          <w:sz w:val="28"/>
          <w:szCs w:val="28"/>
          <w:lang w:val="en-US"/>
        </w:rPr>
        <w:t>was</w:t>
      </w:r>
      <w:r w:rsidR="00E67CE6" w:rsidRPr="006C7708">
        <w:rPr>
          <w:sz w:val="28"/>
          <w:szCs w:val="28"/>
          <w:lang w:val="en-US"/>
        </w:rPr>
        <w:t xml:space="preserve"> workable legally or an effective tool of allocation of competenc</w:t>
      </w:r>
      <w:r w:rsidR="00347421" w:rsidRPr="006C7708">
        <w:rPr>
          <w:sz w:val="28"/>
          <w:szCs w:val="28"/>
          <w:lang w:val="en-US"/>
        </w:rPr>
        <w:t>e, this political message trumped</w:t>
      </w:r>
      <w:r w:rsidR="00E67CE6" w:rsidRPr="006C7708">
        <w:rPr>
          <w:sz w:val="28"/>
          <w:szCs w:val="28"/>
          <w:lang w:val="en-US"/>
        </w:rPr>
        <w:t xml:space="preserve"> all and ‘we are therefore likely to hear more of subsidiarity’. </w:t>
      </w:r>
    </w:p>
    <w:p w14:paraId="5E217C5C" w14:textId="7646484D" w:rsidR="00365501" w:rsidRPr="006C7708" w:rsidRDefault="00B22F04" w:rsidP="001E3444">
      <w:pPr>
        <w:spacing w:line="360" w:lineRule="auto"/>
        <w:jc w:val="both"/>
        <w:rPr>
          <w:sz w:val="28"/>
          <w:szCs w:val="28"/>
          <w:lang w:val="en-US"/>
        </w:rPr>
      </w:pPr>
      <w:r w:rsidRPr="006C7708">
        <w:rPr>
          <w:sz w:val="28"/>
          <w:szCs w:val="28"/>
          <w:lang w:val="en-US"/>
        </w:rPr>
        <w:t xml:space="preserve">Indeed 25 years later, </w:t>
      </w:r>
      <w:r w:rsidR="00CD3FEB" w:rsidRPr="006C7708">
        <w:rPr>
          <w:sz w:val="28"/>
          <w:szCs w:val="28"/>
          <w:lang w:val="en-US"/>
        </w:rPr>
        <w:t xml:space="preserve">the </w:t>
      </w:r>
      <w:r w:rsidRPr="006C7708">
        <w:rPr>
          <w:sz w:val="28"/>
          <w:szCs w:val="28"/>
          <w:lang w:val="en-US"/>
        </w:rPr>
        <w:t>search for the European Union’s legitimacy</w:t>
      </w:r>
      <w:r w:rsidR="00CD3FEB" w:rsidRPr="006C7708">
        <w:rPr>
          <w:sz w:val="28"/>
          <w:szCs w:val="28"/>
          <w:lang w:val="en-US"/>
        </w:rPr>
        <w:t xml:space="preserve"> and effectiveness in action in the eyes of the citizens remains elusive. The major </w:t>
      </w:r>
      <w:r w:rsidR="00136B04" w:rsidRPr="006C7708">
        <w:rPr>
          <w:sz w:val="28"/>
          <w:szCs w:val="28"/>
          <w:lang w:val="en-US"/>
        </w:rPr>
        <w:t>shortcoming</w:t>
      </w:r>
      <w:r w:rsidR="00CD3FEB" w:rsidRPr="006C7708">
        <w:rPr>
          <w:sz w:val="28"/>
          <w:szCs w:val="28"/>
          <w:lang w:val="en-US"/>
        </w:rPr>
        <w:t xml:space="preserve"> with the Task Force report is that it confuses subsidiarity with policy substance. When the Task Force claims </w:t>
      </w:r>
      <w:r w:rsidR="00347421" w:rsidRPr="006C7708">
        <w:rPr>
          <w:sz w:val="28"/>
          <w:szCs w:val="28"/>
          <w:lang w:val="en-US"/>
        </w:rPr>
        <w:t xml:space="preserve">on page 12 </w:t>
      </w:r>
      <w:r w:rsidR="00CD3FEB" w:rsidRPr="006C7708">
        <w:rPr>
          <w:sz w:val="28"/>
          <w:szCs w:val="28"/>
          <w:lang w:val="en-US"/>
        </w:rPr>
        <w:t>that ‘National Parliaments have a pivotal role in ensuring conformity with the subsidiarity principle, and they also have a positive contribution to make on the substance of new legislation’, they seem to equate both. Yet, the entire report is about subsidiarity as a tool of competence allocation – who should act</w:t>
      </w:r>
      <w:r w:rsidR="0010576E" w:rsidRPr="006C7708">
        <w:rPr>
          <w:sz w:val="28"/>
          <w:szCs w:val="28"/>
          <w:lang w:val="en-US"/>
        </w:rPr>
        <w:t>, not in what way</w:t>
      </w:r>
      <w:r w:rsidR="00CD3FEB" w:rsidRPr="006C7708">
        <w:rPr>
          <w:sz w:val="28"/>
          <w:szCs w:val="28"/>
          <w:lang w:val="en-US"/>
        </w:rPr>
        <w:t xml:space="preserve">. </w:t>
      </w:r>
      <w:r w:rsidR="00E5034D" w:rsidRPr="006C7708">
        <w:rPr>
          <w:sz w:val="28"/>
          <w:szCs w:val="28"/>
          <w:lang w:val="en-US"/>
        </w:rPr>
        <w:t xml:space="preserve">The report acknowledges that national and regional parliaments’ contributions ‘frequently go beyond subsidiarity issues in </w:t>
      </w:r>
      <w:proofErr w:type="gramStart"/>
      <w:r w:rsidR="00E5034D" w:rsidRPr="006C7708">
        <w:rPr>
          <w:sz w:val="28"/>
          <w:szCs w:val="28"/>
          <w:lang w:val="en-US"/>
        </w:rPr>
        <w:t>their</w:t>
      </w:r>
      <w:proofErr w:type="gramEnd"/>
      <w:r w:rsidR="00E5034D" w:rsidRPr="006C7708">
        <w:rPr>
          <w:sz w:val="28"/>
          <w:szCs w:val="28"/>
          <w:lang w:val="en-US"/>
        </w:rPr>
        <w:t xml:space="preserve"> reasoned opinions’ (p.12) which creates frustration on both sides. Reasoned opinions on the basis of subsidiarity are the only ones that can create legal consequences. If the reasoned opinion is not made on that basis, the Commission is </w:t>
      </w:r>
      <w:r w:rsidR="000E0289" w:rsidRPr="006C7708">
        <w:rPr>
          <w:sz w:val="28"/>
          <w:szCs w:val="28"/>
          <w:lang w:val="en-US"/>
        </w:rPr>
        <w:t xml:space="preserve">legally </w:t>
      </w:r>
      <w:r w:rsidR="00347421" w:rsidRPr="006C7708">
        <w:rPr>
          <w:sz w:val="28"/>
          <w:szCs w:val="28"/>
          <w:lang w:val="en-US"/>
        </w:rPr>
        <w:t>entitled to ignore the sub-European parliaments</w:t>
      </w:r>
      <w:r w:rsidR="00E5034D" w:rsidRPr="006C7708">
        <w:rPr>
          <w:sz w:val="28"/>
          <w:szCs w:val="28"/>
          <w:lang w:val="en-US"/>
        </w:rPr>
        <w:t xml:space="preserve">. </w:t>
      </w:r>
    </w:p>
    <w:p w14:paraId="00F11898" w14:textId="0150A118" w:rsidR="00366072" w:rsidRPr="006C7708" w:rsidRDefault="000E0289" w:rsidP="001E3444">
      <w:pPr>
        <w:spacing w:line="360" w:lineRule="auto"/>
        <w:jc w:val="both"/>
        <w:rPr>
          <w:sz w:val="28"/>
          <w:szCs w:val="28"/>
          <w:lang w:val="en-US"/>
        </w:rPr>
      </w:pPr>
      <w:r w:rsidRPr="006C7708">
        <w:rPr>
          <w:sz w:val="28"/>
          <w:szCs w:val="28"/>
          <w:lang w:val="en-US"/>
        </w:rPr>
        <w:t>In 2005, the Commission introduced the ‘</w:t>
      </w:r>
      <w:proofErr w:type="spellStart"/>
      <w:r w:rsidRPr="006C7708">
        <w:rPr>
          <w:sz w:val="28"/>
          <w:szCs w:val="28"/>
          <w:lang w:val="en-US"/>
        </w:rPr>
        <w:t>Barroso</w:t>
      </w:r>
      <w:proofErr w:type="spellEnd"/>
      <w:r w:rsidRPr="006C7708">
        <w:rPr>
          <w:sz w:val="28"/>
          <w:szCs w:val="28"/>
          <w:lang w:val="en-US"/>
        </w:rPr>
        <w:t xml:space="preserve"> </w:t>
      </w:r>
      <w:proofErr w:type="gramStart"/>
      <w:r w:rsidRPr="006C7708">
        <w:rPr>
          <w:sz w:val="28"/>
          <w:szCs w:val="28"/>
          <w:lang w:val="en-US"/>
        </w:rPr>
        <w:t>Initiative’ which</w:t>
      </w:r>
      <w:proofErr w:type="gramEnd"/>
      <w:r w:rsidRPr="006C7708">
        <w:rPr>
          <w:sz w:val="28"/>
          <w:szCs w:val="28"/>
          <w:lang w:val="en-US"/>
        </w:rPr>
        <w:t xml:space="preserve"> can be defined as ‘a broad political dialogue between the Commission and the national parliaments of the Member States on all aspects of the former’s political agenda’ (</w:t>
      </w:r>
      <w:proofErr w:type="spellStart"/>
      <w:r w:rsidRPr="006C7708">
        <w:rPr>
          <w:sz w:val="28"/>
          <w:szCs w:val="28"/>
          <w:lang w:val="en-US"/>
        </w:rPr>
        <w:t>Jančić</w:t>
      </w:r>
      <w:proofErr w:type="spellEnd"/>
      <w:r w:rsidRPr="006C7708">
        <w:rPr>
          <w:sz w:val="28"/>
          <w:szCs w:val="28"/>
          <w:lang w:val="en-US"/>
        </w:rPr>
        <w:t>, 2012, p. 78)</w:t>
      </w:r>
      <w:r w:rsidR="008F4DFD" w:rsidRPr="006C7708">
        <w:rPr>
          <w:rStyle w:val="FootnoteReference"/>
          <w:sz w:val="28"/>
          <w:szCs w:val="28"/>
          <w:lang w:val="en-US"/>
        </w:rPr>
        <w:footnoteReference w:id="4"/>
      </w:r>
      <w:r w:rsidRPr="006C7708">
        <w:rPr>
          <w:sz w:val="28"/>
          <w:szCs w:val="28"/>
          <w:lang w:val="en-US"/>
        </w:rPr>
        <w:t>. T</w:t>
      </w:r>
      <w:r w:rsidR="00347421" w:rsidRPr="006C7708">
        <w:rPr>
          <w:sz w:val="28"/>
          <w:szCs w:val="28"/>
          <w:lang w:val="en-US"/>
        </w:rPr>
        <w:t xml:space="preserve">he major difference with the EWM is that the </w:t>
      </w:r>
      <w:proofErr w:type="spellStart"/>
      <w:r w:rsidR="00347421" w:rsidRPr="006C7708">
        <w:rPr>
          <w:sz w:val="28"/>
          <w:szCs w:val="28"/>
          <w:lang w:val="en-US"/>
        </w:rPr>
        <w:t>Barroso</w:t>
      </w:r>
      <w:proofErr w:type="spellEnd"/>
      <w:r w:rsidR="00347421" w:rsidRPr="006C7708">
        <w:rPr>
          <w:sz w:val="28"/>
          <w:szCs w:val="28"/>
          <w:lang w:val="en-US"/>
        </w:rPr>
        <w:t xml:space="preserve"> I</w:t>
      </w:r>
      <w:r w:rsidRPr="006C7708">
        <w:rPr>
          <w:sz w:val="28"/>
          <w:szCs w:val="28"/>
          <w:lang w:val="en-US"/>
        </w:rPr>
        <w:t xml:space="preserve">nitiative opinions can assess any political aspect of a Commission proposal, well beyond subsidiarity issues. This allows the national </w:t>
      </w:r>
      <w:r w:rsidRPr="006C7708">
        <w:rPr>
          <w:sz w:val="28"/>
          <w:szCs w:val="28"/>
          <w:lang w:val="en-US"/>
        </w:rPr>
        <w:lastRenderedPageBreak/>
        <w:t xml:space="preserve">or regional parliament to engage in policy preferences and </w:t>
      </w:r>
      <w:proofErr w:type="gramStart"/>
      <w:r w:rsidRPr="006C7708">
        <w:rPr>
          <w:sz w:val="28"/>
          <w:szCs w:val="28"/>
          <w:lang w:val="en-US"/>
        </w:rPr>
        <w:t>substance which</w:t>
      </w:r>
      <w:proofErr w:type="gramEnd"/>
      <w:r w:rsidRPr="006C7708">
        <w:rPr>
          <w:sz w:val="28"/>
          <w:szCs w:val="28"/>
          <w:lang w:val="en-US"/>
        </w:rPr>
        <w:t xml:space="preserve"> </w:t>
      </w:r>
      <w:proofErr w:type="spellStart"/>
      <w:r w:rsidRPr="006C7708">
        <w:rPr>
          <w:sz w:val="28"/>
          <w:szCs w:val="28"/>
          <w:lang w:val="en-US"/>
        </w:rPr>
        <w:t>politicises</w:t>
      </w:r>
      <w:proofErr w:type="spellEnd"/>
      <w:r w:rsidRPr="006C7708">
        <w:rPr>
          <w:sz w:val="28"/>
          <w:szCs w:val="28"/>
          <w:lang w:val="en-US"/>
        </w:rPr>
        <w:t xml:space="preserve"> </w:t>
      </w:r>
      <w:r w:rsidR="00E160EF" w:rsidRPr="006C7708">
        <w:rPr>
          <w:sz w:val="28"/>
          <w:szCs w:val="28"/>
          <w:lang w:val="en-US"/>
        </w:rPr>
        <w:t xml:space="preserve">EU policies and develops their level of ownership at sub-European levels. </w:t>
      </w:r>
      <w:r w:rsidR="0010576E" w:rsidRPr="006C7708">
        <w:rPr>
          <w:sz w:val="28"/>
          <w:szCs w:val="28"/>
          <w:lang w:val="en-US"/>
        </w:rPr>
        <w:t xml:space="preserve">This initiative exists at the discretion of the Commission </w:t>
      </w:r>
      <w:r w:rsidR="00347421" w:rsidRPr="006C7708">
        <w:rPr>
          <w:sz w:val="28"/>
          <w:szCs w:val="28"/>
          <w:lang w:val="en-US"/>
        </w:rPr>
        <w:t xml:space="preserve">though </w:t>
      </w:r>
      <w:r w:rsidR="0010576E" w:rsidRPr="006C7708">
        <w:rPr>
          <w:sz w:val="28"/>
          <w:szCs w:val="28"/>
          <w:lang w:val="en-US"/>
        </w:rPr>
        <w:t xml:space="preserve">and could be withdrawn at any time. It is a shame to see that the </w:t>
      </w:r>
      <w:proofErr w:type="spellStart"/>
      <w:r w:rsidR="0010576E" w:rsidRPr="006C7708">
        <w:rPr>
          <w:sz w:val="28"/>
          <w:szCs w:val="28"/>
          <w:lang w:val="en-US"/>
        </w:rPr>
        <w:t>Barroso</w:t>
      </w:r>
      <w:proofErr w:type="spellEnd"/>
      <w:r w:rsidR="0010576E" w:rsidRPr="006C7708">
        <w:rPr>
          <w:sz w:val="28"/>
          <w:szCs w:val="28"/>
          <w:lang w:val="en-US"/>
        </w:rPr>
        <w:t xml:space="preserve"> Initiative is not investigated in more depth by the Task Force with a view of enshrining it into the treaties. </w:t>
      </w:r>
      <w:r w:rsidR="00366072" w:rsidRPr="006C7708">
        <w:rPr>
          <w:sz w:val="28"/>
          <w:szCs w:val="28"/>
          <w:lang w:val="en-US"/>
        </w:rPr>
        <w:t>Simila</w:t>
      </w:r>
      <w:r w:rsidR="000B276A" w:rsidRPr="006C7708">
        <w:rPr>
          <w:sz w:val="28"/>
          <w:szCs w:val="28"/>
          <w:lang w:val="en-US"/>
        </w:rPr>
        <w:t xml:space="preserve">rly, the idea of a ‘green card’, </w:t>
      </w:r>
      <w:r w:rsidR="00366072" w:rsidRPr="006C7708">
        <w:rPr>
          <w:sz w:val="28"/>
          <w:szCs w:val="28"/>
          <w:lang w:val="en-US"/>
        </w:rPr>
        <w:t>which gives parliaments a right to suggest to the Commission to take action</w:t>
      </w:r>
      <w:r w:rsidR="000B276A" w:rsidRPr="006C7708">
        <w:rPr>
          <w:sz w:val="28"/>
          <w:szCs w:val="28"/>
          <w:lang w:val="en-US"/>
        </w:rPr>
        <w:t>,</w:t>
      </w:r>
      <w:r w:rsidR="00366072" w:rsidRPr="006C7708">
        <w:rPr>
          <w:sz w:val="28"/>
          <w:szCs w:val="28"/>
          <w:lang w:val="en-US"/>
        </w:rPr>
        <w:t xml:space="preserve"> is pushed aside. </w:t>
      </w:r>
      <w:r w:rsidR="000B276A" w:rsidRPr="006C7708">
        <w:rPr>
          <w:sz w:val="28"/>
          <w:szCs w:val="28"/>
          <w:lang w:val="en-US"/>
        </w:rPr>
        <w:t>The</w:t>
      </w:r>
      <w:r w:rsidR="00347421" w:rsidRPr="006C7708">
        <w:rPr>
          <w:sz w:val="28"/>
          <w:szCs w:val="28"/>
          <w:lang w:val="en-US"/>
        </w:rPr>
        <w:t xml:space="preserve"> only small </w:t>
      </w:r>
      <w:r w:rsidR="000B276A" w:rsidRPr="006C7708">
        <w:rPr>
          <w:sz w:val="28"/>
          <w:szCs w:val="28"/>
          <w:lang w:val="en-US"/>
        </w:rPr>
        <w:t xml:space="preserve">light of hope for significant policy shaping by national </w:t>
      </w:r>
      <w:r w:rsidR="00136B04" w:rsidRPr="006C7708">
        <w:rPr>
          <w:sz w:val="28"/>
          <w:szCs w:val="28"/>
          <w:lang w:val="en-US"/>
        </w:rPr>
        <w:t xml:space="preserve">and regional </w:t>
      </w:r>
      <w:r w:rsidR="000B276A" w:rsidRPr="006C7708">
        <w:rPr>
          <w:sz w:val="28"/>
          <w:szCs w:val="28"/>
          <w:lang w:val="en-US"/>
        </w:rPr>
        <w:t>parliaments came on p</w:t>
      </w:r>
      <w:r w:rsidR="00347421" w:rsidRPr="006C7708">
        <w:rPr>
          <w:sz w:val="28"/>
          <w:szCs w:val="28"/>
          <w:lang w:val="en-US"/>
        </w:rPr>
        <w:t>age</w:t>
      </w:r>
      <w:r w:rsidR="000B276A" w:rsidRPr="006C7708">
        <w:rPr>
          <w:sz w:val="28"/>
          <w:szCs w:val="28"/>
          <w:lang w:val="en-US"/>
        </w:rPr>
        <w:t xml:space="preserve"> 14 with a suggestion that they and the Commission should exchange more intensely on shaping the Commission’s work </w:t>
      </w:r>
      <w:proofErr w:type="spellStart"/>
      <w:r w:rsidR="000B276A" w:rsidRPr="006C7708">
        <w:rPr>
          <w:sz w:val="28"/>
          <w:szCs w:val="28"/>
          <w:lang w:val="en-US"/>
        </w:rPr>
        <w:t>programme</w:t>
      </w:r>
      <w:proofErr w:type="spellEnd"/>
      <w:r w:rsidR="000B276A" w:rsidRPr="006C7708">
        <w:rPr>
          <w:sz w:val="28"/>
          <w:szCs w:val="28"/>
          <w:lang w:val="en-US"/>
        </w:rPr>
        <w:t xml:space="preserve">.  </w:t>
      </w:r>
    </w:p>
    <w:p w14:paraId="3BC5AB86" w14:textId="43A6B46A" w:rsidR="001E3444" w:rsidRPr="006C7708" w:rsidRDefault="0010576E" w:rsidP="001E3444">
      <w:pPr>
        <w:spacing w:line="360" w:lineRule="auto"/>
        <w:jc w:val="both"/>
        <w:rPr>
          <w:sz w:val="28"/>
          <w:szCs w:val="28"/>
          <w:lang w:val="en-US"/>
        </w:rPr>
      </w:pPr>
      <w:r w:rsidRPr="006C7708">
        <w:rPr>
          <w:sz w:val="28"/>
          <w:szCs w:val="28"/>
          <w:lang w:val="en-US"/>
        </w:rPr>
        <w:t xml:space="preserve">If the concept of subsidiarity is to demonstrate European added-value in its action while closing the gap with the citizens by decentralizing decision-making to the level the closest to the citizen, moving away from a technocratic conception of policy proposal to a more political one would make sense. </w:t>
      </w:r>
      <w:r w:rsidR="000B276A" w:rsidRPr="006C7708">
        <w:rPr>
          <w:sz w:val="28"/>
          <w:szCs w:val="28"/>
          <w:lang w:val="en-US"/>
        </w:rPr>
        <w:t>However, s</w:t>
      </w:r>
      <w:r w:rsidR="00366072" w:rsidRPr="006C7708">
        <w:rPr>
          <w:sz w:val="28"/>
          <w:szCs w:val="28"/>
          <w:lang w:val="en-US"/>
        </w:rPr>
        <w:t>ince it</w:t>
      </w:r>
      <w:r w:rsidRPr="006C7708">
        <w:rPr>
          <w:sz w:val="28"/>
          <w:szCs w:val="28"/>
          <w:lang w:val="en-US"/>
        </w:rPr>
        <w:t xml:space="preserve"> would further challenge the Co</w:t>
      </w:r>
      <w:r w:rsidR="00366072" w:rsidRPr="006C7708">
        <w:rPr>
          <w:sz w:val="28"/>
          <w:szCs w:val="28"/>
          <w:lang w:val="en-US"/>
        </w:rPr>
        <w:t xml:space="preserve">mmission’s right of initiative, </w:t>
      </w:r>
      <w:r w:rsidRPr="006C7708">
        <w:rPr>
          <w:sz w:val="28"/>
          <w:szCs w:val="28"/>
          <w:lang w:val="en-US"/>
        </w:rPr>
        <w:t xml:space="preserve">the Task Force fell </w:t>
      </w:r>
      <w:r w:rsidR="00366072" w:rsidRPr="006C7708">
        <w:rPr>
          <w:sz w:val="28"/>
          <w:szCs w:val="28"/>
          <w:lang w:val="en-US"/>
        </w:rPr>
        <w:t>back on a classic:</w:t>
      </w:r>
      <w:r w:rsidRPr="006C7708">
        <w:rPr>
          <w:sz w:val="28"/>
          <w:szCs w:val="28"/>
          <w:lang w:val="en-US"/>
        </w:rPr>
        <w:t xml:space="preserve"> reinforced cooperation and coordination among national parliaments. </w:t>
      </w:r>
    </w:p>
    <w:p w14:paraId="12E4B007" w14:textId="77777777" w:rsidR="000B276A" w:rsidRPr="006C7708" w:rsidRDefault="000B276A" w:rsidP="001E3444">
      <w:pPr>
        <w:spacing w:line="360" w:lineRule="auto"/>
        <w:jc w:val="both"/>
        <w:rPr>
          <w:sz w:val="28"/>
          <w:szCs w:val="28"/>
          <w:lang w:val="en-US"/>
        </w:rPr>
      </w:pPr>
    </w:p>
    <w:p w14:paraId="6D641122" w14:textId="6A41AC0C" w:rsidR="000B276A" w:rsidRPr="006C7708" w:rsidRDefault="000B276A" w:rsidP="001E3444">
      <w:pPr>
        <w:spacing w:line="360" w:lineRule="auto"/>
        <w:jc w:val="both"/>
        <w:rPr>
          <w:b/>
          <w:sz w:val="28"/>
          <w:szCs w:val="28"/>
          <w:lang w:val="en-US"/>
        </w:rPr>
      </w:pPr>
      <w:r w:rsidRPr="006C7708">
        <w:rPr>
          <w:b/>
          <w:sz w:val="28"/>
          <w:szCs w:val="28"/>
          <w:lang w:val="en-US"/>
        </w:rPr>
        <w:t>3. What does it mean for the future of Europe?</w:t>
      </w:r>
    </w:p>
    <w:p w14:paraId="75E58375" w14:textId="402E545A" w:rsidR="00366072" w:rsidRPr="006C7708" w:rsidRDefault="000B276A" w:rsidP="001E3444">
      <w:pPr>
        <w:spacing w:line="360" w:lineRule="auto"/>
        <w:jc w:val="both"/>
        <w:rPr>
          <w:sz w:val="28"/>
          <w:szCs w:val="28"/>
          <w:lang w:val="en-US"/>
        </w:rPr>
      </w:pPr>
      <w:r w:rsidRPr="006C7708">
        <w:rPr>
          <w:sz w:val="28"/>
          <w:szCs w:val="28"/>
          <w:lang w:val="en-US"/>
        </w:rPr>
        <w:t xml:space="preserve">At the end of the day, this report was commissioned in the context of a reflection on the Future of Europe. The Task Force clearly </w:t>
      </w:r>
      <w:r w:rsidR="001C348D" w:rsidRPr="006C7708">
        <w:rPr>
          <w:sz w:val="28"/>
          <w:szCs w:val="28"/>
          <w:lang w:val="en-US"/>
        </w:rPr>
        <w:t xml:space="preserve">rejects scenario 4 on ‘doing less more efficiently’ </w:t>
      </w:r>
      <w:r w:rsidR="00347421" w:rsidRPr="006C7708">
        <w:rPr>
          <w:sz w:val="28"/>
          <w:szCs w:val="28"/>
          <w:lang w:val="en-US"/>
        </w:rPr>
        <w:t>regarding</w:t>
      </w:r>
      <w:r w:rsidR="001C348D" w:rsidRPr="006C7708">
        <w:rPr>
          <w:sz w:val="28"/>
          <w:szCs w:val="28"/>
          <w:lang w:val="en-US"/>
        </w:rPr>
        <w:t xml:space="preserve"> re-delegating certain policies to the national level. However it recommends that </w:t>
      </w:r>
      <w:r w:rsidRPr="006C7708">
        <w:rPr>
          <w:sz w:val="28"/>
          <w:szCs w:val="28"/>
          <w:lang w:val="en-US"/>
        </w:rPr>
        <w:t xml:space="preserve">existing legislation be reviewed with regards subsidiarity, proportionality and regulatory density in order to improve effectiveness of implementation of the existing body of law. </w:t>
      </w:r>
    </w:p>
    <w:p w14:paraId="0D6D45AA" w14:textId="70C8C512" w:rsidR="00D31663" w:rsidRPr="006C7708" w:rsidRDefault="001C348D" w:rsidP="00D31663">
      <w:pPr>
        <w:spacing w:after="0" w:line="360" w:lineRule="auto"/>
        <w:jc w:val="both"/>
        <w:rPr>
          <w:sz w:val="28"/>
          <w:szCs w:val="28"/>
        </w:rPr>
      </w:pPr>
      <w:r w:rsidRPr="006C7708">
        <w:rPr>
          <w:sz w:val="28"/>
          <w:szCs w:val="28"/>
          <w:lang w:val="en-US"/>
        </w:rPr>
        <w:lastRenderedPageBreak/>
        <w:t xml:space="preserve">As </w:t>
      </w:r>
      <w:proofErr w:type="spellStart"/>
      <w:r w:rsidRPr="006C7708">
        <w:rPr>
          <w:sz w:val="28"/>
          <w:szCs w:val="28"/>
          <w:lang w:val="en-US"/>
        </w:rPr>
        <w:t>Jančić</w:t>
      </w:r>
      <w:proofErr w:type="spellEnd"/>
      <w:r w:rsidRPr="006C7708">
        <w:rPr>
          <w:sz w:val="28"/>
          <w:szCs w:val="28"/>
          <w:lang w:val="en-US"/>
        </w:rPr>
        <w:t xml:space="preserve"> points out (2018)</w:t>
      </w:r>
      <w:r w:rsidRPr="006C7708">
        <w:rPr>
          <w:rStyle w:val="FootnoteReference"/>
          <w:sz w:val="28"/>
          <w:szCs w:val="28"/>
          <w:lang w:val="en-US"/>
        </w:rPr>
        <w:footnoteReference w:id="5"/>
      </w:r>
      <w:r w:rsidRPr="006C7708">
        <w:rPr>
          <w:sz w:val="28"/>
          <w:szCs w:val="28"/>
          <w:lang w:val="en-US"/>
        </w:rPr>
        <w:t xml:space="preserve">, ‘the report missed an opportunity to highlight the political nature of parliamentary contributions to EU integration’. </w:t>
      </w:r>
      <w:r w:rsidR="00D31663" w:rsidRPr="006C7708">
        <w:rPr>
          <w:sz w:val="28"/>
          <w:szCs w:val="28"/>
          <w:lang w:val="en-US"/>
        </w:rPr>
        <w:t xml:space="preserve">As much as technocracy with its fragmentation of political power and empowerment of unelected institutions was needed at the start of the European Union construction </w:t>
      </w:r>
      <w:r w:rsidR="00D31663" w:rsidRPr="006C7708">
        <w:rPr>
          <w:sz w:val="28"/>
          <w:szCs w:val="28"/>
        </w:rPr>
        <w:t>in order to avoid a repeat of 1930s and 1940s totalitarianism</w:t>
      </w:r>
      <w:r w:rsidR="00D31663" w:rsidRPr="006C7708">
        <w:rPr>
          <w:rStyle w:val="FootnoteReference"/>
          <w:sz w:val="28"/>
          <w:szCs w:val="28"/>
        </w:rPr>
        <w:footnoteReference w:id="6"/>
      </w:r>
      <w:r w:rsidR="00D31663" w:rsidRPr="006C7708">
        <w:rPr>
          <w:sz w:val="28"/>
          <w:szCs w:val="28"/>
        </w:rPr>
        <w:t xml:space="preserve">, it is now damaging to European democracy. </w:t>
      </w:r>
    </w:p>
    <w:p w14:paraId="0CB59005" w14:textId="77777777" w:rsidR="003B30E9" w:rsidRPr="006C7708" w:rsidRDefault="003B30E9" w:rsidP="00D31663">
      <w:pPr>
        <w:spacing w:after="0" w:line="360" w:lineRule="auto"/>
        <w:jc w:val="both"/>
        <w:rPr>
          <w:sz w:val="28"/>
          <w:szCs w:val="28"/>
        </w:rPr>
      </w:pPr>
    </w:p>
    <w:p w14:paraId="110FD039" w14:textId="77777777" w:rsidR="004E76A3" w:rsidRPr="006C7708" w:rsidRDefault="003B30E9" w:rsidP="00D31663">
      <w:pPr>
        <w:spacing w:after="0" w:line="360" w:lineRule="auto"/>
        <w:jc w:val="both"/>
        <w:rPr>
          <w:sz w:val="28"/>
          <w:szCs w:val="28"/>
          <w:lang w:val="en-US"/>
        </w:rPr>
      </w:pPr>
      <w:proofErr w:type="spellStart"/>
      <w:r w:rsidRPr="006C7708">
        <w:rPr>
          <w:sz w:val="28"/>
          <w:szCs w:val="28"/>
          <w:lang w:val="en-US"/>
        </w:rPr>
        <w:t>Jančić</w:t>
      </w:r>
      <w:proofErr w:type="spellEnd"/>
      <w:r w:rsidRPr="006C7708">
        <w:rPr>
          <w:sz w:val="28"/>
          <w:szCs w:val="28"/>
          <w:lang w:val="en-US"/>
        </w:rPr>
        <w:t xml:space="preserve"> (2018) suggests ‘a periodic balance of competences review […] </w:t>
      </w:r>
      <w:proofErr w:type="spellStart"/>
      <w:r w:rsidRPr="006C7708">
        <w:rPr>
          <w:sz w:val="28"/>
          <w:szCs w:val="28"/>
          <w:lang w:val="en-US"/>
        </w:rPr>
        <w:t>organised</w:t>
      </w:r>
      <w:proofErr w:type="spellEnd"/>
      <w:r w:rsidRPr="006C7708">
        <w:rPr>
          <w:sz w:val="28"/>
          <w:szCs w:val="28"/>
          <w:lang w:val="en-US"/>
        </w:rPr>
        <w:t xml:space="preserve"> across the Union with national and regional parliaments’ (every four to five years). I do not consider this as a meaningful democratic </w:t>
      </w:r>
      <w:proofErr w:type="gramStart"/>
      <w:r w:rsidRPr="006C7708">
        <w:rPr>
          <w:sz w:val="28"/>
          <w:szCs w:val="28"/>
          <w:lang w:val="en-US"/>
        </w:rPr>
        <w:t>reform which</w:t>
      </w:r>
      <w:proofErr w:type="gramEnd"/>
      <w:r w:rsidRPr="006C7708">
        <w:rPr>
          <w:sz w:val="28"/>
          <w:szCs w:val="28"/>
          <w:lang w:val="en-US"/>
        </w:rPr>
        <w:t xml:space="preserve"> would engage the public. However, I </w:t>
      </w:r>
      <w:r w:rsidR="00525F8A" w:rsidRPr="006C7708">
        <w:rPr>
          <w:sz w:val="28"/>
          <w:szCs w:val="28"/>
          <w:lang w:val="en-US"/>
        </w:rPr>
        <w:t>believe</w:t>
      </w:r>
      <w:r w:rsidRPr="006C7708">
        <w:rPr>
          <w:sz w:val="28"/>
          <w:szCs w:val="28"/>
          <w:lang w:val="en-US"/>
        </w:rPr>
        <w:t xml:space="preserve"> that </w:t>
      </w:r>
      <w:r w:rsidR="00525F8A" w:rsidRPr="006C7708">
        <w:rPr>
          <w:sz w:val="28"/>
          <w:szCs w:val="28"/>
          <w:lang w:val="en-US"/>
        </w:rPr>
        <w:t xml:space="preserve">it is time to change the message and broaden the scope of contribution of regional and national parliaments to the European policy-making. </w:t>
      </w:r>
    </w:p>
    <w:p w14:paraId="5AF9B2BF" w14:textId="77777777" w:rsidR="004E76A3" w:rsidRPr="006C7708" w:rsidRDefault="004E76A3" w:rsidP="00D31663">
      <w:pPr>
        <w:spacing w:after="0" w:line="360" w:lineRule="auto"/>
        <w:jc w:val="both"/>
        <w:rPr>
          <w:sz w:val="28"/>
          <w:szCs w:val="28"/>
          <w:lang w:val="en-US"/>
        </w:rPr>
      </w:pPr>
    </w:p>
    <w:p w14:paraId="2C62CDB5" w14:textId="2F05C585" w:rsidR="003B30E9" w:rsidRPr="006C7708" w:rsidRDefault="00525F8A" w:rsidP="00D31663">
      <w:pPr>
        <w:spacing w:after="0" w:line="360" w:lineRule="auto"/>
        <w:jc w:val="both"/>
        <w:rPr>
          <w:sz w:val="28"/>
          <w:szCs w:val="28"/>
          <w:lang w:val="en-US"/>
        </w:rPr>
      </w:pPr>
      <w:r w:rsidRPr="006C7708">
        <w:rPr>
          <w:sz w:val="28"/>
          <w:szCs w:val="28"/>
          <w:lang w:val="en-US"/>
        </w:rPr>
        <w:t xml:space="preserve">We need to </w:t>
      </w:r>
      <w:proofErr w:type="spellStart"/>
      <w:r w:rsidRPr="006C7708">
        <w:rPr>
          <w:sz w:val="28"/>
          <w:szCs w:val="28"/>
          <w:lang w:val="en-US"/>
        </w:rPr>
        <w:t>politicise</w:t>
      </w:r>
      <w:proofErr w:type="spellEnd"/>
      <w:r w:rsidRPr="006C7708">
        <w:rPr>
          <w:sz w:val="28"/>
          <w:szCs w:val="28"/>
          <w:lang w:val="en-US"/>
        </w:rPr>
        <w:t xml:space="preserve"> EU policies so that citizens and sub-European </w:t>
      </w:r>
      <w:r w:rsidR="00136B04" w:rsidRPr="006C7708">
        <w:rPr>
          <w:sz w:val="28"/>
          <w:szCs w:val="28"/>
          <w:lang w:val="en-US"/>
        </w:rPr>
        <w:t>parliaments</w:t>
      </w:r>
      <w:r w:rsidRPr="006C7708">
        <w:rPr>
          <w:sz w:val="28"/>
          <w:szCs w:val="28"/>
          <w:lang w:val="en-US"/>
        </w:rPr>
        <w:t xml:space="preserve"> can develop ownership of those policies. And yes, it involves infringing further on the right of initiative of the European Commission. However the time has come to </w:t>
      </w:r>
      <w:proofErr w:type="spellStart"/>
      <w:r w:rsidRPr="006C7708">
        <w:rPr>
          <w:sz w:val="28"/>
          <w:szCs w:val="28"/>
          <w:lang w:val="en-US"/>
        </w:rPr>
        <w:t>realise</w:t>
      </w:r>
      <w:proofErr w:type="spellEnd"/>
      <w:r w:rsidRPr="006C7708">
        <w:rPr>
          <w:sz w:val="28"/>
          <w:szCs w:val="28"/>
          <w:lang w:val="en-US"/>
        </w:rPr>
        <w:t xml:space="preserve"> that European democracy is not working and it goes beyond simply increasing the powers of the European Parliament.</w:t>
      </w:r>
      <w:r w:rsidR="008208FC" w:rsidRPr="006C7708">
        <w:rPr>
          <w:sz w:val="28"/>
          <w:szCs w:val="28"/>
          <w:lang w:val="en-US"/>
        </w:rPr>
        <w:t xml:space="preserve"> This has been systematic with every treaty change and inversely proportionate to the EU average level of turnout in European elections. It is time for supranational institutions to engage with and carve out space for sub-European </w:t>
      </w:r>
      <w:r w:rsidR="00136B04" w:rsidRPr="006C7708">
        <w:rPr>
          <w:sz w:val="28"/>
          <w:szCs w:val="28"/>
          <w:lang w:val="en-US"/>
        </w:rPr>
        <w:t>parliaments’</w:t>
      </w:r>
      <w:r w:rsidR="008208FC" w:rsidRPr="006C7708">
        <w:rPr>
          <w:sz w:val="28"/>
          <w:szCs w:val="28"/>
          <w:lang w:val="en-US"/>
        </w:rPr>
        <w:t xml:space="preserve"> political views on EU policies and EU </w:t>
      </w:r>
      <w:proofErr w:type="gramStart"/>
      <w:r w:rsidR="008208FC" w:rsidRPr="006C7708">
        <w:rPr>
          <w:sz w:val="28"/>
          <w:szCs w:val="28"/>
          <w:lang w:val="en-US"/>
        </w:rPr>
        <w:t>policy-shaping</w:t>
      </w:r>
      <w:proofErr w:type="gramEnd"/>
      <w:r w:rsidR="008208FC" w:rsidRPr="006C7708">
        <w:rPr>
          <w:sz w:val="28"/>
          <w:szCs w:val="28"/>
          <w:lang w:val="en-US"/>
        </w:rPr>
        <w:t xml:space="preserve">. Many significant democratic reforms should be envisaged beyond the very fragile </w:t>
      </w:r>
      <w:proofErr w:type="spellStart"/>
      <w:r w:rsidR="008208FC" w:rsidRPr="006C7708">
        <w:rPr>
          <w:sz w:val="28"/>
          <w:szCs w:val="28"/>
          <w:lang w:val="en-US"/>
        </w:rPr>
        <w:lastRenderedPageBreak/>
        <w:t>Spitzenkandidat</w:t>
      </w:r>
      <w:proofErr w:type="spellEnd"/>
      <w:r w:rsidR="008208FC" w:rsidRPr="006C7708">
        <w:rPr>
          <w:sz w:val="28"/>
          <w:szCs w:val="28"/>
          <w:lang w:val="en-US"/>
        </w:rPr>
        <w:t xml:space="preserve"> implemented in 2014, which I believe was a step in the right direction. </w:t>
      </w:r>
    </w:p>
    <w:p w14:paraId="16ADAFC6" w14:textId="77777777" w:rsidR="008208FC" w:rsidRPr="006C7708" w:rsidRDefault="008208FC" w:rsidP="00D31663">
      <w:pPr>
        <w:spacing w:after="0" w:line="360" w:lineRule="auto"/>
        <w:jc w:val="both"/>
        <w:rPr>
          <w:sz w:val="28"/>
          <w:szCs w:val="28"/>
          <w:lang w:val="en-US"/>
        </w:rPr>
      </w:pPr>
    </w:p>
    <w:p w14:paraId="7CC0E58D" w14:textId="7803D9E3" w:rsidR="00286370" w:rsidRPr="006C7708" w:rsidRDefault="008208FC" w:rsidP="004E76A3">
      <w:pPr>
        <w:spacing w:after="0" w:line="360" w:lineRule="auto"/>
        <w:jc w:val="both"/>
        <w:rPr>
          <w:sz w:val="28"/>
          <w:szCs w:val="28"/>
        </w:rPr>
      </w:pPr>
      <w:r w:rsidRPr="006C7708">
        <w:rPr>
          <w:sz w:val="28"/>
          <w:szCs w:val="28"/>
          <w:lang w:val="en-US"/>
        </w:rPr>
        <w:t xml:space="preserve">The lack of </w:t>
      </w:r>
      <w:r w:rsidR="003059CA">
        <w:rPr>
          <w:sz w:val="28"/>
          <w:szCs w:val="28"/>
          <w:lang w:val="en-US"/>
        </w:rPr>
        <w:t xml:space="preserve">a </w:t>
      </w:r>
      <w:bookmarkStart w:id="0" w:name="_GoBack"/>
      <w:bookmarkEnd w:id="0"/>
      <w:r w:rsidRPr="006C7708">
        <w:rPr>
          <w:sz w:val="28"/>
          <w:szCs w:val="28"/>
          <w:lang w:val="en-US"/>
        </w:rPr>
        <w:t>visionary approach for the Future of Europe is disappointing given the increasing rise of populist parties across the European Union and the</w:t>
      </w:r>
      <w:r w:rsidR="00FC6AAC" w:rsidRPr="006C7708">
        <w:rPr>
          <w:sz w:val="28"/>
          <w:szCs w:val="28"/>
          <w:lang w:val="en-US"/>
        </w:rPr>
        <w:t xml:space="preserve"> risks it poses to the European project</w:t>
      </w:r>
      <w:r w:rsidRPr="006C7708">
        <w:rPr>
          <w:sz w:val="28"/>
          <w:szCs w:val="28"/>
          <w:lang w:val="en-US"/>
        </w:rPr>
        <w:t xml:space="preserve">. In his last State of the Union address, Jean-Claude </w:t>
      </w:r>
      <w:proofErr w:type="spellStart"/>
      <w:r w:rsidRPr="006C7708">
        <w:rPr>
          <w:sz w:val="28"/>
          <w:szCs w:val="28"/>
          <w:lang w:val="en-US"/>
        </w:rPr>
        <w:t>Juncker</w:t>
      </w:r>
      <w:proofErr w:type="spellEnd"/>
      <w:r w:rsidRPr="006C7708">
        <w:rPr>
          <w:sz w:val="28"/>
          <w:szCs w:val="28"/>
          <w:lang w:val="en-US"/>
        </w:rPr>
        <w:t xml:space="preserve"> mentioned subsidiarity only once</w:t>
      </w:r>
      <w:r w:rsidR="00655DB1" w:rsidRPr="006C7708">
        <w:rPr>
          <w:sz w:val="28"/>
          <w:szCs w:val="28"/>
          <w:lang w:val="en-US"/>
        </w:rPr>
        <w:t>,</w:t>
      </w:r>
      <w:r w:rsidRPr="006C7708">
        <w:rPr>
          <w:sz w:val="28"/>
          <w:szCs w:val="28"/>
          <w:lang w:val="en-US"/>
        </w:rPr>
        <w:t xml:space="preserve"> </w:t>
      </w:r>
      <w:r w:rsidR="00655DB1" w:rsidRPr="006C7708">
        <w:rPr>
          <w:sz w:val="28"/>
          <w:szCs w:val="28"/>
          <w:lang w:val="en-US"/>
        </w:rPr>
        <w:t>in reference</w:t>
      </w:r>
      <w:r w:rsidRPr="006C7708">
        <w:rPr>
          <w:sz w:val="28"/>
          <w:szCs w:val="28"/>
          <w:lang w:val="en-US"/>
        </w:rPr>
        <w:t xml:space="preserve"> to ‘being big </w:t>
      </w:r>
      <w:r w:rsidR="00AB441A" w:rsidRPr="006C7708">
        <w:rPr>
          <w:sz w:val="28"/>
          <w:szCs w:val="28"/>
          <w:lang w:val="en-US"/>
        </w:rPr>
        <w:t>on</w:t>
      </w:r>
      <w:r w:rsidRPr="006C7708">
        <w:rPr>
          <w:sz w:val="28"/>
          <w:szCs w:val="28"/>
          <w:lang w:val="en-US"/>
        </w:rPr>
        <w:t xml:space="preserve"> the big things and small on the small things’ (p6)</w:t>
      </w:r>
      <w:r w:rsidRPr="006C7708">
        <w:rPr>
          <w:rStyle w:val="FootnoteReference"/>
          <w:sz w:val="28"/>
          <w:szCs w:val="28"/>
          <w:lang w:val="en-US"/>
        </w:rPr>
        <w:footnoteReference w:id="7"/>
      </w:r>
      <w:r w:rsidR="00AB441A" w:rsidRPr="006C7708">
        <w:rPr>
          <w:sz w:val="28"/>
          <w:szCs w:val="28"/>
          <w:lang w:val="en-US"/>
        </w:rPr>
        <w:t>, a chea</w:t>
      </w:r>
      <w:r w:rsidR="003574B6" w:rsidRPr="006C7708">
        <w:rPr>
          <w:sz w:val="28"/>
          <w:szCs w:val="28"/>
          <w:lang w:val="en-US"/>
        </w:rPr>
        <w:t xml:space="preserve">p communication turn-of-phrase. His big example </w:t>
      </w:r>
      <w:r w:rsidR="00136B04" w:rsidRPr="006C7708">
        <w:rPr>
          <w:sz w:val="28"/>
          <w:szCs w:val="28"/>
          <w:lang w:val="en-US"/>
        </w:rPr>
        <w:t>of the use of subsidiarity</w:t>
      </w:r>
      <w:r w:rsidR="003574B6" w:rsidRPr="006C7708">
        <w:rPr>
          <w:sz w:val="28"/>
          <w:szCs w:val="28"/>
          <w:lang w:val="en-US"/>
        </w:rPr>
        <w:t xml:space="preserve"> was </w:t>
      </w:r>
      <w:proofErr w:type="gramStart"/>
      <w:r w:rsidR="003574B6" w:rsidRPr="006C7708">
        <w:rPr>
          <w:sz w:val="28"/>
          <w:szCs w:val="28"/>
          <w:lang w:val="en-US"/>
        </w:rPr>
        <w:t>clock-changing</w:t>
      </w:r>
      <w:proofErr w:type="gramEnd"/>
      <w:r w:rsidR="003574B6" w:rsidRPr="006C7708">
        <w:rPr>
          <w:sz w:val="28"/>
          <w:szCs w:val="28"/>
          <w:lang w:val="en-US"/>
        </w:rPr>
        <w:t>! At a time, whether winter or summer, when European citizens and their regional and national parliaments are contesting the legitimacy and effectiveness of European action, it seems odd</w:t>
      </w:r>
      <w:r w:rsidR="00AC6D08" w:rsidRPr="006C7708">
        <w:rPr>
          <w:sz w:val="28"/>
          <w:szCs w:val="28"/>
          <w:lang w:val="en-US"/>
        </w:rPr>
        <w:t xml:space="preserve"> and even condescending</w:t>
      </w:r>
      <w:r w:rsidR="003574B6" w:rsidRPr="006C7708">
        <w:rPr>
          <w:sz w:val="28"/>
          <w:szCs w:val="28"/>
          <w:lang w:val="en-US"/>
        </w:rPr>
        <w:t xml:space="preserve"> to send them back to do some clock work. </w:t>
      </w:r>
    </w:p>
    <w:sectPr w:rsidR="00286370" w:rsidRPr="006C7708" w:rsidSect="00E674A7">
      <w:footerReference w:type="even" r:id="rId8"/>
      <w:footerReference w:type="default" r:id="rId9"/>
      <w:pgSz w:w="11906" w:h="16838"/>
      <w:pgMar w:top="1361" w:right="1440" w:bottom="1361"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4CB46" w14:textId="77777777" w:rsidR="00286DF5" w:rsidRDefault="00286DF5" w:rsidP="000E0289">
      <w:pPr>
        <w:spacing w:after="0" w:line="240" w:lineRule="auto"/>
      </w:pPr>
      <w:r>
        <w:separator/>
      </w:r>
    </w:p>
  </w:endnote>
  <w:endnote w:type="continuationSeparator" w:id="0">
    <w:p w14:paraId="5B510A28" w14:textId="77777777" w:rsidR="00286DF5" w:rsidRDefault="00286DF5" w:rsidP="000E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1925" w14:textId="77777777" w:rsidR="00286DF5" w:rsidRDefault="00286DF5" w:rsidP="00286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9A073" w14:textId="77777777" w:rsidR="00286DF5" w:rsidRDefault="00286DF5" w:rsidP="00286DF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AAA3" w14:textId="77777777" w:rsidR="00286DF5" w:rsidRDefault="00286DF5" w:rsidP="00286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9CA">
      <w:rPr>
        <w:rStyle w:val="PageNumber"/>
        <w:noProof/>
      </w:rPr>
      <w:t>8</w:t>
    </w:r>
    <w:r>
      <w:rPr>
        <w:rStyle w:val="PageNumber"/>
      </w:rPr>
      <w:fldChar w:fldCharType="end"/>
    </w:r>
  </w:p>
  <w:p w14:paraId="40561D7A" w14:textId="77777777" w:rsidR="00286DF5" w:rsidRDefault="00286DF5" w:rsidP="00286DF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8CBE9" w14:textId="77777777" w:rsidR="00286DF5" w:rsidRDefault="00286DF5" w:rsidP="000E0289">
      <w:pPr>
        <w:spacing w:after="0" w:line="240" w:lineRule="auto"/>
      </w:pPr>
      <w:r>
        <w:separator/>
      </w:r>
    </w:p>
  </w:footnote>
  <w:footnote w:type="continuationSeparator" w:id="0">
    <w:p w14:paraId="7446F852" w14:textId="77777777" w:rsidR="00286DF5" w:rsidRDefault="00286DF5" w:rsidP="000E0289">
      <w:pPr>
        <w:spacing w:after="0" w:line="240" w:lineRule="auto"/>
      </w:pPr>
      <w:r>
        <w:continuationSeparator/>
      </w:r>
    </w:p>
  </w:footnote>
  <w:footnote w:id="1">
    <w:p w14:paraId="26B0790B" w14:textId="4F32DB5E" w:rsidR="00286DF5" w:rsidRPr="00FA00A0" w:rsidRDefault="00286DF5">
      <w:pPr>
        <w:pStyle w:val="FootnoteText"/>
        <w:rPr>
          <w:sz w:val="22"/>
          <w:szCs w:val="22"/>
          <w:lang w:val="en-US"/>
        </w:rPr>
      </w:pPr>
      <w:r w:rsidRPr="00FA00A0">
        <w:rPr>
          <w:rStyle w:val="FootnoteReference"/>
          <w:sz w:val="22"/>
          <w:szCs w:val="22"/>
        </w:rPr>
        <w:footnoteRef/>
      </w:r>
      <w:r w:rsidRPr="00FA00A0">
        <w:rPr>
          <w:sz w:val="22"/>
          <w:szCs w:val="22"/>
        </w:rPr>
        <w:t xml:space="preserve"> </w:t>
      </w:r>
      <w:proofErr w:type="spellStart"/>
      <w:r w:rsidRPr="00FA00A0">
        <w:rPr>
          <w:sz w:val="22"/>
          <w:szCs w:val="22"/>
          <w:lang w:val="en-US"/>
        </w:rPr>
        <w:t>Granat</w:t>
      </w:r>
      <w:proofErr w:type="spellEnd"/>
      <w:r w:rsidRPr="00FA00A0">
        <w:rPr>
          <w:sz w:val="22"/>
          <w:szCs w:val="22"/>
          <w:lang w:val="en-US"/>
        </w:rPr>
        <w:t xml:space="preserve">, K. (2018) </w:t>
      </w:r>
      <w:r w:rsidRPr="00FA00A0">
        <w:rPr>
          <w:i/>
          <w:sz w:val="22"/>
          <w:szCs w:val="22"/>
          <w:lang w:val="en-US"/>
        </w:rPr>
        <w:t>The Principle of Subsidiarity and its Enforcement in the EU Legal Order – the Role of National Parliaments in the Early Warning System</w:t>
      </w:r>
      <w:r w:rsidRPr="00FA00A0">
        <w:rPr>
          <w:sz w:val="22"/>
          <w:szCs w:val="22"/>
          <w:lang w:val="en-US"/>
        </w:rPr>
        <w:t>, Oxford: Hart</w:t>
      </w:r>
    </w:p>
  </w:footnote>
  <w:footnote w:id="2">
    <w:p w14:paraId="46B598DB" w14:textId="6295438D" w:rsidR="00286DF5" w:rsidRPr="00E1645E" w:rsidRDefault="00286DF5">
      <w:pPr>
        <w:pStyle w:val="FootnoteText"/>
        <w:rPr>
          <w:sz w:val="22"/>
          <w:szCs w:val="22"/>
          <w:lang w:val="en-US"/>
        </w:rPr>
      </w:pPr>
      <w:r>
        <w:rPr>
          <w:rStyle w:val="FootnoteReference"/>
        </w:rPr>
        <w:footnoteRef/>
      </w:r>
      <w:r>
        <w:t xml:space="preserve"> </w:t>
      </w:r>
      <w:proofErr w:type="spellStart"/>
      <w:r>
        <w:rPr>
          <w:rFonts w:cs="Times"/>
          <w:color w:val="131312"/>
          <w:sz w:val="22"/>
          <w:szCs w:val="22"/>
          <w:lang w:val="en-US"/>
        </w:rPr>
        <w:t>Hooghe</w:t>
      </w:r>
      <w:proofErr w:type="spellEnd"/>
      <w:r>
        <w:rPr>
          <w:rFonts w:cs="Times"/>
          <w:color w:val="131312"/>
          <w:sz w:val="22"/>
          <w:szCs w:val="22"/>
          <w:lang w:val="en-US"/>
        </w:rPr>
        <w:t>, L., &amp; Marks, G. (2009) ‘</w:t>
      </w:r>
      <w:r w:rsidRPr="00E1645E">
        <w:rPr>
          <w:rFonts w:cs="Times"/>
          <w:color w:val="131312"/>
          <w:sz w:val="22"/>
          <w:szCs w:val="22"/>
          <w:lang w:val="en-US"/>
        </w:rPr>
        <w:t xml:space="preserve">A </w:t>
      </w:r>
      <w:proofErr w:type="spellStart"/>
      <w:r w:rsidRPr="00E1645E">
        <w:rPr>
          <w:rFonts w:cs="Times"/>
          <w:color w:val="131312"/>
          <w:sz w:val="22"/>
          <w:szCs w:val="22"/>
          <w:lang w:val="en-US"/>
        </w:rPr>
        <w:t>Postfunctionalist</w:t>
      </w:r>
      <w:proofErr w:type="spellEnd"/>
      <w:r w:rsidRPr="00E1645E">
        <w:rPr>
          <w:rFonts w:cs="Times"/>
          <w:color w:val="131312"/>
          <w:sz w:val="22"/>
          <w:szCs w:val="22"/>
          <w:lang w:val="en-US"/>
        </w:rPr>
        <w:t xml:space="preserve"> Theory of European Integration: From Permissive Cons</w:t>
      </w:r>
      <w:r>
        <w:rPr>
          <w:rFonts w:cs="Times"/>
          <w:color w:val="131312"/>
          <w:sz w:val="22"/>
          <w:szCs w:val="22"/>
          <w:lang w:val="en-US"/>
        </w:rPr>
        <w:t xml:space="preserve">ensus to Constraining </w:t>
      </w:r>
      <w:proofErr w:type="spellStart"/>
      <w:r>
        <w:rPr>
          <w:rFonts w:cs="Times"/>
          <w:color w:val="131312"/>
          <w:sz w:val="22"/>
          <w:szCs w:val="22"/>
          <w:lang w:val="en-US"/>
        </w:rPr>
        <w:t>Dissensus</w:t>
      </w:r>
      <w:proofErr w:type="spellEnd"/>
      <w:r>
        <w:rPr>
          <w:rFonts w:cs="Times"/>
          <w:color w:val="131312"/>
          <w:sz w:val="22"/>
          <w:szCs w:val="22"/>
          <w:lang w:val="en-US"/>
        </w:rPr>
        <w:t>’,</w:t>
      </w:r>
      <w:r w:rsidRPr="00E1645E">
        <w:rPr>
          <w:rFonts w:cs="Times"/>
          <w:color w:val="131312"/>
          <w:sz w:val="22"/>
          <w:szCs w:val="22"/>
          <w:lang w:val="en-US"/>
        </w:rPr>
        <w:t xml:space="preserve"> </w:t>
      </w:r>
      <w:r w:rsidRPr="00E1645E">
        <w:rPr>
          <w:rFonts w:cs="Times"/>
          <w:i/>
          <w:iCs/>
          <w:color w:val="131312"/>
          <w:sz w:val="22"/>
          <w:szCs w:val="22"/>
          <w:lang w:val="en-US"/>
        </w:rPr>
        <w:t>British Journal of Political Science,</w:t>
      </w:r>
      <w:r w:rsidRPr="00E1645E">
        <w:rPr>
          <w:rFonts w:cs="Times"/>
          <w:color w:val="131312"/>
          <w:sz w:val="22"/>
          <w:szCs w:val="22"/>
          <w:lang w:val="en-US"/>
        </w:rPr>
        <w:t xml:space="preserve"> </w:t>
      </w:r>
      <w:r w:rsidRPr="00E1645E">
        <w:rPr>
          <w:rFonts w:cs="Times"/>
          <w:i/>
          <w:iCs/>
          <w:color w:val="131312"/>
          <w:sz w:val="22"/>
          <w:szCs w:val="22"/>
          <w:lang w:val="en-US"/>
        </w:rPr>
        <w:t>39</w:t>
      </w:r>
      <w:r w:rsidRPr="00E1645E">
        <w:rPr>
          <w:rFonts w:cs="Times"/>
          <w:color w:val="131312"/>
          <w:sz w:val="22"/>
          <w:szCs w:val="22"/>
          <w:lang w:val="en-US"/>
        </w:rPr>
        <w:t>(1), 1-23</w:t>
      </w:r>
    </w:p>
  </w:footnote>
  <w:footnote w:id="3">
    <w:p w14:paraId="62B7539A" w14:textId="3602D3DB" w:rsidR="00286DF5" w:rsidRPr="000E0289" w:rsidRDefault="00286DF5">
      <w:pPr>
        <w:pStyle w:val="FootnoteText"/>
        <w:rPr>
          <w:sz w:val="22"/>
          <w:szCs w:val="22"/>
          <w:lang w:val="en-US"/>
        </w:rPr>
      </w:pPr>
      <w:r w:rsidRPr="000E0289">
        <w:rPr>
          <w:rStyle w:val="FootnoteReference"/>
          <w:sz w:val="22"/>
          <w:szCs w:val="22"/>
        </w:rPr>
        <w:footnoteRef/>
      </w:r>
      <w:r w:rsidRPr="000E0289">
        <w:rPr>
          <w:sz w:val="22"/>
          <w:szCs w:val="22"/>
        </w:rPr>
        <w:t xml:space="preserve"> </w:t>
      </w:r>
      <w:proofErr w:type="spellStart"/>
      <w:r w:rsidRPr="000E0289">
        <w:rPr>
          <w:sz w:val="22"/>
          <w:szCs w:val="22"/>
          <w:lang w:val="en-US"/>
        </w:rPr>
        <w:t>Dehousse</w:t>
      </w:r>
      <w:proofErr w:type="spellEnd"/>
      <w:r w:rsidRPr="000E0289">
        <w:rPr>
          <w:sz w:val="22"/>
          <w:szCs w:val="22"/>
          <w:lang w:val="en-US"/>
        </w:rPr>
        <w:t>, R. (1992) ‘Does Subsidiarity Really Matter?</w:t>
      </w:r>
      <w:proofErr w:type="gramStart"/>
      <w:r w:rsidRPr="000E0289">
        <w:rPr>
          <w:sz w:val="22"/>
          <w:szCs w:val="22"/>
          <w:lang w:val="en-US"/>
        </w:rPr>
        <w:t>’,</w:t>
      </w:r>
      <w:proofErr w:type="gramEnd"/>
      <w:r w:rsidRPr="000E0289">
        <w:rPr>
          <w:sz w:val="22"/>
          <w:szCs w:val="22"/>
          <w:lang w:val="en-US"/>
        </w:rPr>
        <w:t xml:space="preserve"> </w:t>
      </w:r>
      <w:r w:rsidRPr="000E0289">
        <w:rPr>
          <w:i/>
          <w:sz w:val="22"/>
          <w:szCs w:val="22"/>
          <w:lang w:val="en-US"/>
        </w:rPr>
        <w:t>EUI Working Paper Law 92/32</w:t>
      </w:r>
      <w:r w:rsidRPr="000E0289">
        <w:rPr>
          <w:sz w:val="22"/>
          <w:szCs w:val="22"/>
          <w:lang w:val="en-US"/>
        </w:rPr>
        <w:t>, Florence: EUI</w:t>
      </w:r>
      <w:r>
        <w:rPr>
          <w:sz w:val="22"/>
          <w:szCs w:val="22"/>
          <w:lang w:val="en-US"/>
        </w:rPr>
        <w:t>, pp. 1-31.</w:t>
      </w:r>
    </w:p>
  </w:footnote>
  <w:footnote w:id="4">
    <w:p w14:paraId="6E15860A" w14:textId="258658FE" w:rsidR="00286DF5" w:rsidRPr="008F4DFD" w:rsidRDefault="00286DF5">
      <w:pPr>
        <w:pStyle w:val="FootnoteText"/>
        <w:rPr>
          <w:sz w:val="22"/>
          <w:szCs w:val="22"/>
          <w:lang w:val="en-US"/>
        </w:rPr>
      </w:pPr>
      <w:r w:rsidRPr="008F4DFD">
        <w:rPr>
          <w:rStyle w:val="FootnoteReference"/>
          <w:sz w:val="22"/>
          <w:szCs w:val="22"/>
        </w:rPr>
        <w:footnoteRef/>
      </w:r>
      <w:r w:rsidRPr="008F4DFD">
        <w:rPr>
          <w:sz w:val="22"/>
          <w:szCs w:val="22"/>
        </w:rPr>
        <w:t xml:space="preserve"> </w:t>
      </w:r>
      <w:proofErr w:type="spellStart"/>
      <w:r w:rsidRPr="008F4DFD">
        <w:rPr>
          <w:sz w:val="22"/>
          <w:szCs w:val="22"/>
          <w:lang w:val="en-US"/>
        </w:rPr>
        <w:t>Jančić</w:t>
      </w:r>
      <w:proofErr w:type="spellEnd"/>
      <w:r w:rsidRPr="008F4DFD">
        <w:rPr>
          <w:sz w:val="22"/>
          <w:szCs w:val="22"/>
          <w:lang w:val="en-US"/>
        </w:rPr>
        <w:t xml:space="preserve">, D. (2012) ‘The </w:t>
      </w:r>
      <w:proofErr w:type="spellStart"/>
      <w:r w:rsidRPr="008F4DFD">
        <w:rPr>
          <w:sz w:val="22"/>
          <w:szCs w:val="22"/>
          <w:lang w:val="en-US"/>
        </w:rPr>
        <w:t>Barroso</w:t>
      </w:r>
      <w:proofErr w:type="spellEnd"/>
      <w:r w:rsidRPr="008F4DFD">
        <w:rPr>
          <w:sz w:val="22"/>
          <w:szCs w:val="22"/>
          <w:lang w:val="en-US"/>
        </w:rPr>
        <w:t xml:space="preserve"> Initiative: Window Dressing or Democracy Boost?</w:t>
      </w:r>
      <w:proofErr w:type="gramStart"/>
      <w:r w:rsidRPr="008F4DFD">
        <w:rPr>
          <w:sz w:val="22"/>
          <w:szCs w:val="22"/>
          <w:lang w:val="en-US"/>
        </w:rPr>
        <w:t>’,</w:t>
      </w:r>
      <w:proofErr w:type="gramEnd"/>
      <w:r w:rsidRPr="008F4DFD">
        <w:rPr>
          <w:sz w:val="22"/>
          <w:szCs w:val="22"/>
          <w:lang w:val="en-US"/>
        </w:rPr>
        <w:t xml:space="preserve"> </w:t>
      </w:r>
      <w:r w:rsidRPr="008F4DFD">
        <w:rPr>
          <w:i/>
          <w:sz w:val="22"/>
          <w:szCs w:val="22"/>
          <w:lang w:val="en-US"/>
        </w:rPr>
        <w:t>Utrecht Law Review</w:t>
      </w:r>
      <w:r w:rsidRPr="008F4DFD">
        <w:rPr>
          <w:sz w:val="22"/>
          <w:szCs w:val="22"/>
          <w:lang w:val="en-US"/>
        </w:rPr>
        <w:t xml:space="preserve">, 8 (1), pp. </w:t>
      </w:r>
      <w:r>
        <w:rPr>
          <w:sz w:val="22"/>
          <w:szCs w:val="22"/>
          <w:lang w:val="en-US"/>
        </w:rPr>
        <w:t>78-91.</w:t>
      </w:r>
    </w:p>
  </w:footnote>
  <w:footnote w:id="5">
    <w:p w14:paraId="15BACADC" w14:textId="1198D515" w:rsidR="00286DF5" w:rsidRPr="00D31663" w:rsidRDefault="00286DF5">
      <w:pPr>
        <w:pStyle w:val="FootnoteText"/>
        <w:rPr>
          <w:sz w:val="22"/>
          <w:szCs w:val="22"/>
          <w:lang w:val="en-US"/>
        </w:rPr>
      </w:pPr>
      <w:r w:rsidRPr="00D31663">
        <w:rPr>
          <w:rStyle w:val="FootnoteReference"/>
          <w:sz w:val="22"/>
          <w:szCs w:val="22"/>
        </w:rPr>
        <w:footnoteRef/>
      </w:r>
      <w:r w:rsidRPr="00D31663">
        <w:rPr>
          <w:sz w:val="22"/>
          <w:szCs w:val="22"/>
        </w:rPr>
        <w:t xml:space="preserve"> </w:t>
      </w:r>
      <w:proofErr w:type="spellStart"/>
      <w:r w:rsidRPr="00D31663">
        <w:rPr>
          <w:sz w:val="22"/>
          <w:szCs w:val="22"/>
          <w:lang w:val="en-US"/>
        </w:rPr>
        <w:t>Jančić</w:t>
      </w:r>
      <w:proofErr w:type="spellEnd"/>
      <w:r w:rsidRPr="00D31663">
        <w:rPr>
          <w:sz w:val="22"/>
          <w:szCs w:val="22"/>
          <w:lang w:val="en-US"/>
        </w:rPr>
        <w:t>, D. (2018) ‘</w:t>
      </w:r>
      <w:proofErr w:type="spellStart"/>
      <w:r w:rsidRPr="00D31663">
        <w:rPr>
          <w:sz w:val="22"/>
          <w:szCs w:val="22"/>
          <w:lang w:val="en-US"/>
        </w:rPr>
        <w:t>Frans</w:t>
      </w:r>
      <w:proofErr w:type="spellEnd"/>
      <w:r w:rsidRPr="00D31663">
        <w:rPr>
          <w:sz w:val="22"/>
          <w:szCs w:val="22"/>
          <w:lang w:val="en-US"/>
        </w:rPr>
        <w:t xml:space="preserve"> </w:t>
      </w:r>
      <w:proofErr w:type="spellStart"/>
      <w:r w:rsidRPr="00D31663">
        <w:rPr>
          <w:sz w:val="22"/>
          <w:szCs w:val="22"/>
          <w:lang w:val="en-US"/>
        </w:rPr>
        <w:t>Timmermans</w:t>
      </w:r>
      <w:proofErr w:type="spellEnd"/>
      <w:r w:rsidRPr="00D31663">
        <w:rPr>
          <w:sz w:val="22"/>
          <w:szCs w:val="22"/>
          <w:lang w:val="en-US"/>
        </w:rPr>
        <w:t xml:space="preserve">’ subsidiarity proposals do not go far enough to address the EU’s democratic deficit’, </w:t>
      </w:r>
      <w:r w:rsidRPr="00D31663">
        <w:rPr>
          <w:i/>
          <w:sz w:val="22"/>
          <w:szCs w:val="22"/>
          <w:lang w:val="en-US"/>
        </w:rPr>
        <w:t xml:space="preserve">LSE </w:t>
      </w:r>
      <w:proofErr w:type="spellStart"/>
      <w:r w:rsidRPr="00D31663">
        <w:rPr>
          <w:i/>
          <w:sz w:val="22"/>
          <w:szCs w:val="22"/>
          <w:lang w:val="en-US"/>
        </w:rPr>
        <w:t>Europp</w:t>
      </w:r>
      <w:proofErr w:type="spellEnd"/>
      <w:r w:rsidRPr="00D31663">
        <w:rPr>
          <w:sz w:val="22"/>
          <w:szCs w:val="22"/>
          <w:lang w:val="en-US"/>
        </w:rPr>
        <w:t xml:space="preserve">, </w:t>
      </w:r>
      <w:hyperlink r:id="rId1" w:history="1">
        <w:r w:rsidRPr="00D31663">
          <w:rPr>
            <w:rStyle w:val="Hyperlink"/>
            <w:sz w:val="22"/>
            <w:szCs w:val="22"/>
            <w:lang w:val="en-US"/>
          </w:rPr>
          <w:t>http://blogs.lse.ac.uk/europpblog/2018/07/26/frans-timmermans-subsidiarity-proposals-do-not-go-far-enough-to-address-the-eus-democratic-deficit/</w:t>
        </w:r>
      </w:hyperlink>
      <w:r w:rsidRPr="00D31663">
        <w:rPr>
          <w:sz w:val="22"/>
          <w:szCs w:val="22"/>
          <w:lang w:val="en-US"/>
        </w:rPr>
        <w:t xml:space="preserve"> </w:t>
      </w:r>
    </w:p>
  </w:footnote>
  <w:footnote w:id="6">
    <w:p w14:paraId="613D42C4" w14:textId="5C4DC99B" w:rsidR="00286DF5" w:rsidRPr="00D31663" w:rsidRDefault="00286DF5">
      <w:pPr>
        <w:pStyle w:val="FootnoteText"/>
        <w:rPr>
          <w:sz w:val="22"/>
          <w:szCs w:val="22"/>
          <w:lang w:val="en-US"/>
        </w:rPr>
      </w:pPr>
      <w:r w:rsidRPr="00D31663">
        <w:rPr>
          <w:rStyle w:val="FootnoteReference"/>
          <w:sz w:val="22"/>
          <w:szCs w:val="22"/>
        </w:rPr>
        <w:footnoteRef/>
      </w:r>
      <w:r w:rsidRPr="00D31663">
        <w:rPr>
          <w:sz w:val="22"/>
          <w:szCs w:val="22"/>
        </w:rPr>
        <w:t xml:space="preserve"> </w:t>
      </w:r>
      <w:r w:rsidRPr="00D31663">
        <w:rPr>
          <w:sz w:val="22"/>
          <w:szCs w:val="22"/>
          <w:lang w:val="en-US"/>
        </w:rPr>
        <w:t xml:space="preserve">Müller, J-W (2017) </w:t>
      </w:r>
      <w:r w:rsidRPr="00D31663">
        <w:rPr>
          <w:i/>
          <w:sz w:val="22"/>
          <w:szCs w:val="22"/>
          <w:lang w:val="en-US"/>
        </w:rPr>
        <w:t>What is Populism</w:t>
      </w:r>
      <w:r w:rsidRPr="00D31663">
        <w:rPr>
          <w:sz w:val="22"/>
          <w:szCs w:val="22"/>
          <w:lang w:val="en-US"/>
        </w:rPr>
        <w:t>, UK, USA: Penguin Books</w:t>
      </w:r>
    </w:p>
  </w:footnote>
  <w:footnote w:id="7">
    <w:p w14:paraId="2D27DD19" w14:textId="7D75B1B1" w:rsidR="00286DF5" w:rsidRPr="00AB441A" w:rsidRDefault="00286DF5">
      <w:pPr>
        <w:pStyle w:val="FootnoteText"/>
        <w:rPr>
          <w:sz w:val="22"/>
          <w:szCs w:val="22"/>
          <w:lang w:val="en-US"/>
        </w:rPr>
      </w:pPr>
      <w:r w:rsidRPr="00AB441A">
        <w:rPr>
          <w:rStyle w:val="FootnoteReference"/>
          <w:sz w:val="22"/>
          <w:szCs w:val="22"/>
        </w:rPr>
        <w:footnoteRef/>
      </w:r>
      <w:r w:rsidRPr="00AB441A">
        <w:rPr>
          <w:sz w:val="22"/>
          <w:szCs w:val="22"/>
        </w:rPr>
        <w:t xml:space="preserve"> </w:t>
      </w:r>
      <w:proofErr w:type="spellStart"/>
      <w:r w:rsidRPr="00AB441A">
        <w:rPr>
          <w:sz w:val="22"/>
          <w:szCs w:val="22"/>
          <w:lang w:val="en-US"/>
        </w:rPr>
        <w:t>Juncker</w:t>
      </w:r>
      <w:proofErr w:type="spellEnd"/>
      <w:r w:rsidRPr="00AB441A">
        <w:rPr>
          <w:sz w:val="22"/>
          <w:szCs w:val="22"/>
          <w:lang w:val="en-US"/>
        </w:rPr>
        <w:t xml:space="preserve">, J-C (2018) </w:t>
      </w:r>
      <w:r w:rsidRPr="00655DB1">
        <w:rPr>
          <w:i/>
          <w:sz w:val="22"/>
          <w:szCs w:val="22"/>
          <w:lang w:val="en-US"/>
        </w:rPr>
        <w:t>State of the Union – The Hour of the European Sovereignty</w:t>
      </w:r>
      <w:r w:rsidRPr="00AB441A">
        <w:rPr>
          <w:sz w:val="22"/>
          <w:szCs w:val="22"/>
          <w:lang w:val="en-US"/>
        </w:rPr>
        <w:t xml:space="preserve">, </w:t>
      </w:r>
      <w:hyperlink r:id="rId2" w:history="1">
        <w:r w:rsidRPr="00AB441A">
          <w:rPr>
            <w:rStyle w:val="Hyperlink"/>
            <w:sz w:val="22"/>
            <w:szCs w:val="22"/>
            <w:lang w:val="en-US"/>
          </w:rPr>
          <w:t>https://ec.europa.eu/commission/priorities/state-union-speeches/state-union-2018_en</w:t>
        </w:r>
      </w:hyperlink>
      <w:r w:rsidRPr="00AB441A">
        <w:rPr>
          <w:sz w:val="22"/>
          <w:szCs w:val="22"/>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45F5"/>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DC3B22"/>
    <w:multiLevelType w:val="hybridMultilevel"/>
    <w:tmpl w:val="B0ECFA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42266452"/>
    <w:multiLevelType w:val="hybridMultilevel"/>
    <w:tmpl w:val="C110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853E5"/>
    <w:multiLevelType w:val="hybridMultilevel"/>
    <w:tmpl w:val="28382F16"/>
    <w:lvl w:ilvl="0" w:tplc="BCF6A23A">
      <w:start w:val="3"/>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552F20AF"/>
    <w:multiLevelType w:val="hybridMultilevel"/>
    <w:tmpl w:val="264C9212"/>
    <w:lvl w:ilvl="0" w:tplc="D444DAFE">
      <w:start w:val="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4"/>
    <w:rsid w:val="000A0DC8"/>
    <w:rsid w:val="000B276A"/>
    <w:rsid w:val="000E0289"/>
    <w:rsid w:val="0010576E"/>
    <w:rsid w:val="00136B04"/>
    <w:rsid w:val="00165056"/>
    <w:rsid w:val="00166064"/>
    <w:rsid w:val="001C348D"/>
    <w:rsid w:val="001D45E7"/>
    <w:rsid w:val="001E3444"/>
    <w:rsid w:val="00267371"/>
    <w:rsid w:val="00286370"/>
    <w:rsid w:val="00286DF5"/>
    <w:rsid w:val="002D41D4"/>
    <w:rsid w:val="003059CA"/>
    <w:rsid w:val="00347421"/>
    <w:rsid w:val="003540DC"/>
    <w:rsid w:val="003574B6"/>
    <w:rsid w:val="00365501"/>
    <w:rsid w:val="00366072"/>
    <w:rsid w:val="003777B7"/>
    <w:rsid w:val="003B30E9"/>
    <w:rsid w:val="003E6AF4"/>
    <w:rsid w:val="004A73D7"/>
    <w:rsid w:val="004B38AB"/>
    <w:rsid w:val="004E76A3"/>
    <w:rsid w:val="00525F8A"/>
    <w:rsid w:val="005C05A4"/>
    <w:rsid w:val="00655DB1"/>
    <w:rsid w:val="00683587"/>
    <w:rsid w:val="006C7708"/>
    <w:rsid w:val="00774D43"/>
    <w:rsid w:val="00797E94"/>
    <w:rsid w:val="007C510E"/>
    <w:rsid w:val="008208FC"/>
    <w:rsid w:val="008F4DFD"/>
    <w:rsid w:val="00900F82"/>
    <w:rsid w:val="00A3302B"/>
    <w:rsid w:val="00A332B1"/>
    <w:rsid w:val="00AB441A"/>
    <w:rsid w:val="00AC6D08"/>
    <w:rsid w:val="00B06983"/>
    <w:rsid w:val="00B22F04"/>
    <w:rsid w:val="00BC77CE"/>
    <w:rsid w:val="00BF662C"/>
    <w:rsid w:val="00C05971"/>
    <w:rsid w:val="00C364D6"/>
    <w:rsid w:val="00CD3FEB"/>
    <w:rsid w:val="00CE22E7"/>
    <w:rsid w:val="00D31663"/>
    <w:rsid w:val="00D75528"/>
    <w:rsid w:val="00D92414"/>
    <w:rsid w:val="00E160EF"/>
    <w:rsid w:val="00E1645E"/>
    <w:rsid w:val="00E5034D"/>
    <w:rsid w:val="00E674A7"/>
    <w:rsid w:val="00E67CE6"/>
    <w:rsid w:val="00F2078E"/>
    <w:rsid w:val="00FA00A0"/>
    <w:rsid w:val="00FC6AAC"/>
    <w:rsid w:val="00FF11F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D1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14"/>
    <w:pPr>
      <w:ind w:left="720"/>
      <w:contextualSpacing/>
    </w:pPr>
  </w:style>
  <w:style w:type="paragraph" w:styleId="FootnoteText">
    <w:name w:val="footnote text"/>
    <w:basedOn w:val="Normal"/>
    <w:link w:val="FootnoteTextChar"/>
    <w:uiPriority w:val="99"/>
    <w:unhideWhenUsed/>
    <w:rsid w:val="000E0289"/>
    <w:pPr>
      <w:spacing w:after="0" w:line="240" w:lineRule="auto"/>
    </w:pPr>
    <w:rPr>
      <w:sz w:val="24"/>
      <w:szCs w:val="24"/>
    </w:rPr>
  </w:style>
  <w:style w:type="character" w:customStyle="1" w:styleId="FootnoteTextChar">
    <w:name w:val="Footnote Text Char"/>
    <w:basedOn w:val="DefaultParagraphFont"/>
    <w:link w:val="FootnoteText"/>
    <w:uiPriority w:val="99"/>
    <w:rsid w:val="000E0289"/>
    <w:rPr>
      <w:sz w:val="24"/>
      <w:szCs w:val="24"/>
    </w:rPr>
  </w:style>
  <w:style w:type="character" w:styleId="FootnoteReference">
    <w:name w:val="footnote reference"/>
    <w:basedOn w:val="DefaultParagraphFont"/>
    <w:uiPriority w:val="99"/>
    <w:unhideWhenUsed/>
    <w:rsid w:val="000E0289"/>
    <w:rPr>
      <w:vertAlign w:val="superscript"/>
    </w:rPr>
  </w:style>
  <w:style w:type="character" w:styleId="Hyperlink">
    <w:name w:val="Hyperlink"/>
    <w:basedOn w:val="DefaultParagraphFont"/>
    <w:uiPriority w:val="99"/>
    <w:unhideWhenUsed/>
    <w:rsid w:val="00D31663"/>
    <w:rPr>
      <w:color w:val="0563C1" w:themeColor="hyperlink"/>
      <w:u w:val="single"/>
    </w:rPr>
  </w:style>
  <w:style w:type="paragraph" w:styleId="Footer">
    <w:name w:val="footer"/>
    <w:basedOn w:val="Normal"/>
    <w:link w:val="FooterChar"/>
    <w:uiPriority w:val="99"/>
    <w:unhideWhenUsed/>
    <w:rsid w:val="00286D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6DF5"/>
  </w:style>
  <w:style w:type="character" w:styleId="PageNumber">
    <w:name w:val="page number"/>
    <w:basedOn w:val="DefaultParagraphFont"/>
    <w:uiPriority w:val="99"/>
    <w:semiHidden/>
    <w:unhideWhenUsed/>
    <w:rsid w:val="00286DF5"/>
  </w:style>
  <w:style w:type="paragraph" w:styleId="Header">
    <w:name w:val="header"/>
    <w:basedOn w:val="Normal"/>
    <w:link w:val="HeaderChar"/>
    <w:uiPriority w:val="99"/>
    <w:unhideWhenUsed/>
    <w:rsid w:val="00286D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6D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14"/>
    <w:pPr>
      <w:ind w:left="720"/>
      <w:contextualSpacing/>
    </w:pPr>
  </w:style>
  <w:style w:type="paragraph" w:styleId="FootnoteText">
    <w:name w:val="footnote text"/>
    <w:basedOn w:val="Normal"/>
    <w:link w:val="FootnoteTextChar"/>
    <w:uiPriority w:val="99"/>
    <w:unhideWhenUsed/>
    <w:rsid w:val="000E0289"/>
    <w:pPr>
      <w:spacing w:after="0" w:line="240" w:lineRule="auto"/>
    </w:pPr>
    <w:rPr>
      <w:sz w:val="24"/>
      <w:szCs w:val="24"/>
    </w:rPr>
  </w:style>
  <w:style w:type="character" w:customStyle="1" w:styleId="FootnoteTextChar">
    <w:name w:val="Footnote Text Char"/>
    <w:basedOn w:val="DefaultParagraphFont"/>
    <w:link w:val="FootnoteText"/>
    <w:uiPriority w:val="99"/>
    <w:rsid w:val="000E0289"/>
    <w:rPr>
      <w:sz w:val="24"/>
      <w:szCs w:val="24"/>
    </w:rPr>
  </w:style>
  <w:style w:type="character" w:styleId="FootnoteReference">
    <w:name w:val="footnote reference"/>
    <w:basedOn w:val="DefaultParagraphFont"/>
    <w:uiPriority w:val="99"/>
    <w:unhideWhenUsed/>
    <w:rsid w:val="000E0289"/>
    <w:rPr>
      <w:vertAlign w:val="superscript"/>
    </w:rPr>
  </w:style>
  <w:style w:type="character" w:styleId="Hyperlink">
    <w:name w:val="Hyperlink"/>
    <w:basedOn w:val="DefaultParagraphFont"/>
    <w:uiPriority w:val="99"/>
    <w:unhideWhenUsed/>
    <w:rsid w:val="00D31663"/>
    <w:rPr>
      <w:color w:val="0563C1" w:themeColor="hyperlink"/>
      <w:u w:val="single"/>
    </w:rPr>
  </w:style>
  <w:style w:type="paragraph" w:styleId="Footer">
    <w:name w:val="footer"/>
    <w:basedOn w:val="Normal"/>
    <w:link w:val="FooterChar"/>
    <w:uiPriority w:val="99"/>
    <w:unhideWhenUsed/>
    <w:rsid w:val="00286D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6DF5"/>
  </w:style>
  <w:style w:type="character" w:styleId="PageNumber">
    <w:name w:val="page number"/>
    <w:basedOn w:val="DefaultParagraphFont"/>
    <w:uiPriority w:val="99"/>
    <w:semiHidden/>
    <w:unhideWhenUsed/>
    <w:rsid w:val="00286DF5"/>
  </w:style>
  <w:style w:type="paragraph" w:styleId="Header">
    <w:name w:val="header"/>
    <w:basedOn w:val="Normal"/>
    <w:link w:val="HeaderChar"/>
    <w:uiPriority w:val="99"/>
    <w:unhideWhenUsed/>
    <w:rsid w:val="00286D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lse.ac.uk/europpblog/2018/07/26/frans-timmermans-subsidiarity-proposals-do-not-go-far-enough-to-address-the-eus-democratic-deficit/" TargetMode="External"/><Relationship Id="rId2" Type="http://schemas.openxmlformats.org/officeDocument/2006/relationships/hyperlink" Target="https://ec.europa.eu/commission/priorities/state-union-speeches/state-union-2018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8</Pages>
  <Words>1826</Words>
  <Characters>10413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Quinlivan, Aodh</dc:creator>
  <cp:keywords/>
  <dc:description/>
  <cp:lastModifiedBy>Emmanuelle Schon Quinlivan</cp:lastModifiedBy>
  <cp:revision>29</cp:revision>
  <cp:lastPrinted>2018-10-02T15:51:00Z</cp:lastPrinted>
  <dcterms:created xsi:type="dcterms:W3CDTF">2018-09-23T12:57:00Z</dcterms:created>
  <dcterms:modified xsi:type="dcterms:W3CDTF">2018-10-08T10:09:00Z</dcterms:modified>
</cp:coreProperties>
</file>